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0A" w:rsidRPr="005B177A" w:rsidRDefault="00A5020A">
      <w:pPr>
        <w:pStyle w:val="normal0"/>
        <w:widowControl w:val="0"/>
        <w:spacing w:line="276" w:lineRule="auto"/>
        <w:jc w:val="left"/>
        <w:rPr>
          <w:color w:val="000000"/>
          <w:sz w:val="22"/>
          <w:szCs w:val="22"/>
          <w:lang w:val="en-GB"/>
        </w:rPr>
      </w:pPr>
    </w:p>
    <w:tbl>
      <w:tblPr>
        <w:tblW w:w="8782" w:type="dxa"/>
        <w:jc w:val="center"/>
        <w:tblBorders>
          <w:bottom w:val="single" w:sz="4" w:space="0" w:color="000000"/>
        </w:tblBorders>
        <w:tblLayout w:type="fixed"/>
        <w:tblCellMar>
          <w:left w:w="115" w:type="dxa"/>
          <w:right w:w="115" w:type="dxa"/>
        </w:tblCellMar>
        <w:tblLook w:val="0000"/>
      </w:tblPr>
      <w:tblGrid>
        <w:gridCol w:w="6940"/>
        <w:gridCol w:w="1842"/>
      </w:tblGrid>
      <w:tr w:rsidR="00A5020A" w:rsidRPr="005B177A" w:rsidTr="00013195">
        <w:trPr>
          <w:trHeight w:val="852"/>
          <w:jc w:val="center"/>
        </w:trPr>
        <w:tc>
          <w:tcPr>
            <w:tcW w:w="6940" w:type="dxa"/>
            <w:vMerge w:val="restart"/>
            <w:tcBorders>
              <w:right w:val="single" w:sz="4" w:space="0" w:color="000000"/>
            </w:tcBorders>
          </w:tcPr>
          <w:p w:rsidR="00A5020A" w:rsidRPr="005B177A" w:rsidRDefault="005F4FE7" w:rsidP="00013195">
            <w:pPr>
              <w:pStyle w:val="normal0"/>
              <w:tabs>
                <w:tab w:val="left" w:pos="-108"/>
              </w:tabs>
              <w:ind w:left="-108"/>
              <w:jc w:val="left"/>
              <w:rPr>
                <w:b/>
                <w:i/>
                <w:color w:val="000066"/>
                <w:sz w:val="12"/>
                <w:szCs w:val="12"/>
                <w:lang w:val="en-GB"/>
              </w:rPr>
            </w:pPr>
            <w:bookmarkStart w:id="0" w:name="_gjdgxs" w:colFirst="0" w:colLast="0"/>
            <w:bookmarkEnd w:id="0"/>
            <w:r>
              <w:rPr>
                <w:rFonts w:ascii="AdvP6960" w:hAnsi="AdvP6960" w:cs="AdvP6960"/>
                <w:noProof/>
                <w:color w:val="241F20"/>
                <w:lang w:val="pt-BR"/>
              </w:rPr>
              <w:drawing>
                <wp:inline distT="0" distB="0" distL="0" distR="0">
                  <wp:extent cx="640080" cy="365760"/>
                  <wp:effectExtent l="19050" t="0" r="7620" b="0"/>
                  <wp:docPr id="1" name="image1.png"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etlogo"/>
                          <pic:cNvPicPr>
                            <a:picLocks noChangeAspect="1" noChangeArrowheads="1"/>
                          </pic:cNvPicPr>
                        </pic:nvPicPr>
                        <pic:blipFill>
                          <a:blip r:embed="rId5"/>
                          <a:srcRect/>
                          <a:stretch>
                            <a:fillRect/>
                          </a:stretch>
                        </pic:blipFill>
                        <pic:spPr bwMode="auto">
                          <a:xfrm>
                            <a:off x="0" y="0"/>
                            <a:ext cx="640080" cy="365760"/>
                          </a:xfrm>
                          <a:prstGeom prst="rect">
                            <a:avLst/>
                          </a:prstGeom>
                          <a:noFill/>
                          <a:ln w="9525">
                            <a:noFill/>
                            <a:miter lim="800000"/>
                            <a:headEnd/>
                            <a:tailEnd/>
                          </a:ln>
                        </pic:spPr>
                      </pic:pic>
                    </a:graphicData>
                  </a:graphic>
                </wp:inline>
              </w:drawing>
            </w:r>
            <w:r w:rsidR="00A5020A" w:rsidRPr="005B177A">
              <w:rPr>
                <w:rFonts w:ascii="AdvP6960" w:hAnsi="AdvP6960" w:cs="AdvP6960"/>
                <w:color w:val="241F20"/>
                <w:lang w:val="en-GB"/>
              </w:rPr>
              <w:t xml:space="preserve"> </w:t>
            </w:r>
            <w:r w:rsidR="00A5020A" w:rsidRPr="005B177A">
              <w:rPr>
                <w:b/>
                <w:i/>
                <w:color w:val="000066"/>
                <w:sz w:val="24"/>
                <w:szCs w:val="24"/>
                <w:lang w:val="en-GB"/>
              </w:rPr>
              <w:t>CHEMICAL ENGINEERING</w:t>
            </w:r>
            <w:r w:rsidR="00A5020A" w:rsidRPr="005B177A">
              <w:rPr>
                <w:b/>
                <w:i/>
                <w:color w:val="0033FF"/>
                <w:sz w:val="24"/>
                <w:szCs w:val="24"/>
                <w:lang w:val="en-GB"/>
              </w:rPr>
              <w:t xml:space="preserve"> </w:t>
            </w:r>
            <w:r w:rsidR="00A5020A" w:rsidRPr="005B177A">
              <w:rPr>
                <w:b/>
                <w:i/>
                <w:color w:val="666666"/>
                <w:sz w:val="24"/>
                <w:szCs w:val="24"/>
                <w:lang w:val="en-GB"/>
              </w:rPr>
              <w:t>TRANSACTIONS</w:t>
            </w:r>
            <w:r w:rsidR="00A5020A" w:rsidRPr="005B177A">
              <w:rPr>
                <w:color w:val="333333"/>
                <w:sz w:val="24"/>
                <w:szCs w:val="24"/>
                <w:lang w:val="en-GB"/>
              </w:rPr>
              <w:t xml:space="preserve"> </w:t>
            </w:r>
            <w:r w:rsidR="00A5020A" w:rsidRPr="005B177A">
              <w:rPr>
                <w:b/>
                <w:i/>
                <w:color w:val="000066"/>
                <w:sz w:val="27"/>
                <w:szCs w:val="27"/>
                <w:lang w:val="en-GB"/>
              </w:rPr>
              <w:br/>
            </w:r>
          </w:p>
          <w:p w:rsidR="00A5020A" w:rsidRPr="005B177A" w:rsidRDefault="00A5020A" w:rsidP="00013195">
            <w:pPr>
              <w:pStyle w:val="normal0"/>
              <w:tabs>
                <w:tab w:val="left" w:pos="-108"/>
              </w:tabs>
              <w:ind w:left="-108"/>
              <w:rPr>
                <w:b/>
                <w:i/>
                <w:color w:val="000066"/>
                <w:sz w:val="22"/>
                <w:szCs w:val="22"/>
                <w:lang w:val="en-GB"/>
              </w:rPr>
            </w:pPr>
            <w:r w:rsidRPr="005B177A">
              <w:rPr>
                <w:b/>
                <w:i/>
                <w:color w:val="000066"/>
                <w:sz w:val="22"/>
                <w:szCs w:val="22"/>
                <w:lang w:val="en-GB"/>
              </w:rPr>
              <w:t>VOL. xxx, 2025</w:t>
            </w:r>
          </w:p>
        </w:tc>
        <w:tc>
          <w:tcPr>
            <w:tcW w:w="1842" w:type="dxa"/>
            <w:tcBorders>
              <w:left w:val="single" w:sz="4" w:space="0" w:color="000000"/>
              <w:bottom w:val="nil"/>
              <w:right w:val="single" w:sz="4" w:space="0" w:color="000000"/>
            </w:tcBorders>
          </w:tcPr>
          <w:p w:rsidR="00A5020A" w:rsidRPr="005B177A" w:rsidRDefault="00A5020A" w:rsidP="00013195">
            <w:pPr>
              <w:pStyle w:val="normal0"/>
              <w:jc w:val="right"/>
              <w:rPr>
                <w:sz w:val="14"/>
                <w:szCs w:val="14"/>
                <w:lang w:val="en-GB"/>
              </w:rPr>
            </w:pPr>
            <w:r w:rsidRPr="005B177A">
              <w:rPr>
                <w:sz w:val="14"/>
                <w:szCs w:val="14"/>
                <w:lang w:val="en-GB"/>
              </w:rPr>
              <w:t>A publication of</w:t>
            </w:r>
          </w:p>
          <w:p w:rsidR="00A5020A" w:rsidRPr="005B177A" w:rsidRDefault="005F4FE7" w:rsidP="00013195">
            <w:pPr>
              <w:pStyle w:val="normal0"/>
              <w:jc w:val="right"/>
              <w:rPr>
                <w:lang w:val="en-GB"/>
              </w:rPr>
            </w:pPr>
            <w:r>
              <w:rPr>
                <w:noProof/>
                <w:lang w:val="pt-BR"/>
              </w:rPr>
              <w:drawing>
                <wp:inline distT="0" distB="0" distL="0" distR="0">
                  <wp:extent cx="631825" cy="349250"/>
                  <wp:effectExtent l="19050" t="0" r="0" b="0"/>
                  <wp:docPr id="2" name="image3.png"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idiclogo_grande"/>
                          <pic:cNvPicPr>
                            <a:picLocks noChangeAspect="1" noChangeArrowheads="1"/>
                          </pic:cNvPicPr>
                        </pic:nvPicPr>
                        <pic:blipFill>
                          <a:blip r:embed="rId6"/>
                          <a:srcRect/>
                          <a:stretch>
                            <a:fillRect/>
                          </a:stretch>
                        </pic:blipFill>
                        <pic:spPr bwMode="auto">
                          <a:xfrm>
                            <a:off x="0" y="0"/>
                            <a:ext cx="631825" cy="349250"/>
                          </a:xfrm>
                          <a:prstGeom prst="rect">
                            <a:avLst/>
                          </a:prstGeom>
                          <a:noFill/>
                          <a:ln w="9525">
                            <a:noFill/>
                            <a:miter lim="800000"/>
                            <a:headEnd/>
                            <a:tailEnd/>
                          </a:ln>
                        </pic:spPr>
                      </pic:pic>
                    </a:graphicData>
                  </a:graphic>
                </wp:inline>
              </w:drawing>
            </w:r>
          </w:p>
        </w:tc>
      </w:tr>
      <w:tr w:rsidR="00A5020A" w:rsidRPr="005B177A" w:rsidTr="00013195">
        <w:trPr>
          <w:trHeight w:val="567"/>
          <w:jc w:val="center"/>
        </w:trPr>
        <w:tc>
          <w:tcPr>
            <w:tcW w:w="6940" w:type="dxa"/>
            <w:vMerge/>
            <w:tcBorders>
              <w:right w:val="single" w:sz="4" w:space="0" w:color="000000"/>
            </w:tcBorders>
          </w:tcPr>
          <w:p w:rsidR="00A5020A" w:rsidRPr="005B177A" w:rsidRDefault="00A5020A" w:rsidP="00013195">
            <w:pPr>
              <w:pStyle w:val="normal0"/>
              <w:widowControl w:val="0"/>
              <w:spacing w:line="276" w:lineRule="auto"/>
              <w:jc w:val="left"/>
              <w:rPr>
                <w:lang w:val="en-GB"/>
              </w:rPr>
            </w:pPr>
          </w:p>
        </w:tc>
        <w:tc>
          <w:tcPr>
            <w:tcW w:w="1842" w:type="dxa"/>
            <w:tcBorders>
              <w:left w:val="single" w:sz="4" w:space="0" w:color="000000"/>
              <w:bottom w:val="nil"/>
              <w:right w:val="single" w:sz="4" w:space="0" w:color="000000"/>
            </w:tcBorders>
          </w:tcPr>
          <w:p w:rsidR="00A5020A" w:rsidRPr="005B177A" w:rsidRDefault="00A5020A" w:rsidP="00013195">
            <w:pPr>
              <w:pStyle w:val="normal0"/>
              <w:jc w:val="right"/>
              <w:rPr>
                <w:sz w:val="14"/>
                <w:szCs w:val="14"/>
                <w:lang w:val="en-GB"/>
              </w:rPr>
            </w:pPr>
            <w:r w:rsidRPr="005B177A">
              <w:rPr>
                <w:sz w:val="14"/>
                <w:szCs w:val="14"/>
                <w:lang w:val="en-GB"/>
              </w:rPr>
              <w:t>The Italian Association</w:t>
            </w:r>
          </w:p>
          <w:p w:rsidR="00A5020A" w:rsidRPr="005B177A" w:rsidRDefault="00A5020A" w:rsidP="00013195">
            <w:pPr>
              <w:pStyle w:val="normal0"/>
              <w:jc w:val="right"/>
              <w:rPr>
                <w:sz w:val="14"/>
                <w:szCs w:val="14"/>
                <w:lang w:val="en-GB"/>
              </w:rPr>
            </w:pPr>
            <w:r w:rsidRPr="005B177A">
              <w:rPr>
                <w:sz w:val="14"/>
                <w:szCs w:val="14"/>
                <w:lang w:val="en-GB"/>
              </w:rPr>
              <w:t>of Chemical Engineering</w:t>
            </w:r>
          </w:p>
          <w:p w:rsidR="00A5020A" w:rsidRPr="005B177A" w:rsidRDefault="00A5020A" w:rsidP="00013195">
            <w:pPr>
              <w:pStyle w:val="normal0"/>
              <w:jc w:val="right"/>
              <w:rPr>
                <w:sz w:val="13"/>
                <w:szCs w:val="13"/>
                <w:lang w:val="en-GB"/>
              </w:rPr>
            </w:pPr>
            <w:r w:rsidRPr="005B177A">
              <w:rPr>
                <w:sz w:val="13"/>
                <w:szCs w:val="13"/>
                <w:lang w:val="en-GB"/>
              </w:rPr>
              <w:t>Online at www.cetjournal.it</w:t>
            </w:r>
          </w:p>
        </w:tc>
      </w:tr>
      <w:tr w:rsidR="00A5020A" w:rsidRPr="005B177A" w:rsidTr="00013195">
        <w:trPr>
          <w:trHeight w:val="68"/>
          <w:jc w:val="center"/>
        </w:trPr>
        <w:tc>
          <w:tcPr>
            <w:tcW w:w="8782" w:type="dxa"/>
            <w:gridSpan w:val="2"/>
            <w:tcBorders>
              <w:bottom w:val="single" w:sz="4" w:space="0" w:color="000000"/>
            </w:tcBorders>
          </w:tcPr>
          <w:p w:rsidR="00A5020A" w:rsidRPr="005B177A" w:rsidRDefault="00A5020A" w:rsidP="00013195">
            <w:pPr>
              <w:pStyle w:val="normal0"/>
              <w:ind w:left="-107"/>
              <w:rPr>
                <w:rFonts w:ascii="Tahoma" w:hAnsi="Tahoma" w:cs="Tahoma"/>
                <w:color w:val="000000"/>
                <w:sz w:val="14"/>
                <w:szCs w:val="14"/>
                <w:highlight w:val="white"/>
                <w:lang w:val="en-GB"/>
              </w:rPr>
            </w:pPr>
            <w:r w:rsidRPr="005B177A">
              <w:rPr>
                <w:rFonts w:ascii="Tahoma" w:hAnsi="Tahoma" w:cs="Tahoma"/>
                <w:color w:val="333333"/>
                <w:sz w:val="14"/>
                <w:szCs w:val="14"/>
                <w:lang w:val="en-GB"/>
              </w:rPr>
              <w:t>Guest Editors:</w:t>
            </w:r>
            <w:r w:rsidRPr="005B177A">
              <w:rPr>
                <w:rFonts w:ascii="Aptos" w:hAnsi="Aptos" w:cs="Aptos"/>
                <w:sz w:val="22"/>
                <w:szCs w:val="22"/>
                <w:lang w:val="en-GB"/>
              </w:rPr>
              <w:t xml:space="preserve"> </w:t>
            </w:r>
            <w:r w:rsidRPr="005B177A">
              <w:rPr>
                <w:rFonts w:ascii="Tahoma" w:hAnsi="Tahoma" w:cs="Tahoma"/>
                <w:color w:val="000000"/>
                <w:sz w:val="14"/>
                <w:szCs w:val="14"/>
                <w:highlight w:val="white"/>
                <w:lang w:val="en-GB"/>
              </w:rPr>
              <w:t>Fabrizio Bezzo, Gabriele Pannocchia, Almerinda di Benedetto</w:t>
            </w:r>
          </w:p>
          <w:p w:rsidR="00A5020A" w:rsidRPr="005B177A" w:rsidRDefault="00A5020A" w:rsidP="00013195">
            <w:pPr>
              <w:pStyle w:val="normal0"/>
              <w:tabs>
                <w:tab w:val="left" w:pos="-108"/>
              </w:tabs>
              <w:ind w:left="-107"/>
              <w:jc w:val="left"/>
              <w:rPr>
                <w:lang w:val="en-GB"/>
              </w:rPr>
            </w:pPr>
            <w:r w:rsidRPr="005B177A">
              <w:rPr>
                <w:rFonts w:ascii="Tahoma" w:hAnsi="Tahoma" w:cs="Tahoma"/>
                <w:color w:val="333333"/>
                <w:sz w:val="14"/>
                <w:szCs w:val="14"/>
                <w:lang w:val="en-GB"/>
              </w:rPr>
              <w:t>Copyright © 2025, AIDIC Servizi S.r.l.</w:t>
            </w:r>
            <w:r w:rsidRPr="005B177A">
              <w:rPr>
                <w:rFonts w:ascii="Tahoma" w:hAnsi="Tahoma" w:cs="Tahoma"/>
                <w:color w:val="333333"/>
                <w:sz w:val="14"/>
                <w:szCs w:val="14"/>
                <w:lang w:val="en-GB"/>
              </w:rPr>
              <w:br/>
            </w:r>
            <w:r w:rsidRPr="005B177A">
              <w:rPr>
                <w:rFonts w:ascii="Tahoma" w:hAnsi="Tahoma" w:cs="Tahoma"/>
                <w:b/>
                <w:color w:val="000000"/>
                <w:sz w:val="14"/>
                <w:szCs w:val="14"/>
                <w:lang w:val="en-GB"/>
              </w:rPr>
              <w:t>ISBN</w:t>
            </w:r>
            <w:r w:rsidRPr="005B177A">
              <w:rPr>
                <w:rFonts w:ascii="Tahoma" w:hAnsi="Tahoma" w:cs="Tahoma"/>
                <w:color w:val="000000"/>
                <w:sz w:val="14"/>
                <w:szCs w:val="14"/>
                <w:lang w:val="en-GB"/>
              </w:rPr>
              <w:t xml:space="preserve"> </w:t>
            </w:r>
            <w:r w:rsidRPr="005B177A">
              <w:rPr>
                <w:rFonts w:ascii="Tahoma" w:hAnsi="Tahoma" w:cs="Tahoma"/>
                <w:sz w:val="14"/>
                <w:szCs w:val="14"/>
                <w:lang w:val="en-GB"/>
              </w:rPr>
              <w:t>979-12-81206-17-5</w:t>
            </w:r>
            <w:r w:rsidRPr="005B177A">
              <w:rPr>
                <w:rFonts w:ascii="Tahoma" w:hAnsi="Tahoma" w:cs="Tahoma"/>
                <w:color w:val="333333"/>
                <w:sz w:val="14"/>
                <w:szCs w:val="14"/>
                <w:lang w:val="en-GB"/>
              </w:rPr>
              <w:t xml:space="preserve">; </w:t>
            </w:r>
            <w:r w:rsidRPr="005B177A">
              <w:rPr>
                <w:rFonts w:ascii="Tahoma" w:hAnsi="Tahoma" w:cs="Tahoma"/>
                <w:b/>
                <w:color w:val="333333"/>
                <w:sz w:val="14"/>
                <w:szCs w:val="14"/>
                <w:lang w:val="en-GB"/>
              </w:rPr>
              <w:t>ISSN</w:t>
            </w:r>
            <w:r w:rsidRPr="005B177A">
              <w:rPr>
                <w:rFonts w:ascii="Tahoma" w:hAnsi="Tahoma" w:cs="Tahoma"/>
                <w:color w:val="333333"/>
                <w:sz w:val="14"/>
                <w:szCs w:val="14"/>
                <w:lang w:val="en-GB"/>
              </w:rPr>
              <w:t xml:space="preserve"> 2283-9216</w:t>
            </w:r>
          </w:p>
        </w:tc>
      </w:tr>
    </w:tbl>
    <w:p w:rsidR="00A5020A" w:rsidRPr="005B177A" w:rsidRDefault="00A5020A">
      <w:pPr>
        <w:pStyle w:val="normal0"/>
        <w:jc w:val="center"/>
        <w:rPr>
          <w:b/>
          <w:sz w:val="32"/>
          <w:szCs w:val="32"/>
          <w:lang w:val="en-GB"/>
        </w:rPr>
      </w:pPr>
      <w:r w:rsidRPr="005B177A">
        <w:rPr>
          <w:b/>
          <w:sz w:val="32"/>
          <w:szCs w:val="32"/>
          <w:lang w:val="en-GB"/>
        </w:rPr>
        <w:t>Synthesis of Global Reaction Routes using Thermodynamic Evaluation</w:t>
      </w:r>
    </w:p>
    <w:p w:rsidR="00A5020A" w:rsidRPr="005B177A" w:rsidRDefault="00A5020A">
      <w:pPr>
        <w:pStyle w:val="normal0"/>
        <w:rPr>
          <w:lang w:val="en-GB"/>
        </w:rPr>
      </w:pPr>
    </w:p>
    <w:p w:rsidR="00A5020A" w:rsidRPr="005B177A" w:rsidRDefault="00A5020A">
      <w:pPr>
        <w:pStyle w:val="normal0"/>
        <w:rPr>
          <w:sz w:val="20"/>
          <w:szCs w:val="20"/>
          <w:lang w:val="en-GB"/>
        </w:rPr>
      </w:pPr>
      <w:r w:rsidRPr="005B177A">
        <w:rPr>
          <w:sz w:val="20"/>
          <w:szCs w:val="20"/>
          <w:lang w:val="en-GB"/>
        </w:rPr>
        <w:t>Consuelo C.G. Silva</w:t>
      </w:r>
      <w:r w:rsidRPr="005B177A">
        <w:rPr>
          <w:sz w:val="20"/>
          <w:szCs w:val="20"/>
          <w:vertAlign w:val="superscript"/>
          <w:lang w:val="en-GB"/>
        </w:rPr>
        <w:t>1</w:t>
      </w:r>
      <w:r w:rsidRPr="005B177A">
        <w:rPr>
          <w:sz w:val="20"/>
          <w:szCs w:val="20"/>
          <w:lang w:val="en-GB"/>
        </w:rPr>
        <w:t xml:space="preserve"> ; Luiz Henrique S. Silva</w:t>
      </w:r>
      <w:r w:rsidRPr="005B177A">
        <w:rPr>
          <w:sz w:val="20"/>
          <w:szCs w:val="20"/>
          <w:vertAlign w:val="superscript"/>
          <w:lang w:val="en-GB"/>
        </w:rPr>
        <w:t>2</w:t>
      </w:r>
      <w:r w:rsidRPr="005B177A">
        <w:rPr>
          <w:sz w:val="20"/>
          <w:szCs w:val="20"/>
          <w:lang w:val="en-GB"/>
        </w:rPr>
        <w:t xml:space="preserve"> ; Reginaldo Guirardello</w:t>
      </w:r>
      <w:r w:rsidRPr="005B177A">
        <w:rPr>
          <w:sz w:val="20"/>
          <w:szCs w:val="20"/>
          <w:vertAlign w:val="superscript"/>
          <w:lang w:val="en-GB"/>
        </w:rPr>
        <w:t>3</w:t>
      </w:r>
    </w:p>
    <w:p w:rsidR="00A5020A" w:rsidRPr="005B177A" w:rsidRDefault="00A5020A">
      <w:pPr>
        <w:pStyle w:val="normal0"/>
        <w:rPr>
          <w:lang w:val="en-GB"/>
        </w:rPr>
      </w:pPr>
      <w:r w:rsidRPr="005B177A">
        <w:rPr>
          <w:vertAlign w:val="superscript"/>
          <w:lang w:val="en-GB"/>
        </w:rPr>
        <w:t>1,2</w:t>
      </w:r>
      <w:r w:rsidR="00F713DC">
        <w:rPr>
          <w:color w:val="222222"/>
          <w:highlight w:val="white"/>
          <w:lang w:val="en-GB"/>
        </w:rPr>
        <w:t xml:space="preserve"> F</w:t>
      </w:r>
      <w:r w:rsidRPr="005B177A">
        <w:rPr>
          <w:color w:val="222222"/>
          <w:highlight w:val="white"/>
          <w:lang w:val="en-GB"/>
        </w:rPr>
        <w:t>ederal University of Recôncavo Bahia</w:t>
      </w:r>
      <w:r w:rsidRPr="005B177A">
        <w:rPr>
          <w:lang w:val="en-GB"/>
        </w:rPr>
        <w:t xml:space="preserve"> – UFRB</w:t>
      </w:r>
      <w:r w:rsidR="00F319BB" w:rsidRPr="005B177A">
        <w:rPr>
          <w:lang w:val="en-GB"/>
        </w:rPr>
        <w:t xml:space="preserve"> – Brazil </w:t>
      </w:r>
    </w:p>
    <w:p w:rsidR="00A5020A" w:rsidRPr="005B177A" w:rsidRDefault="00A5020A">
      <w:pPr>
        <w:pStyle w:val="normal0"/>
        <w:rPr>
          <w:lang w:val="en-GB"/>
        </w:rPr>
      </w:pPr>
      <w:r w:rsidRPr="005B177A">
        <w:rPr>
          <w:vertAlign w:val="superscript"/>
          <w:lang w:val="en-GB"/>
        </w:rPr>
        <w:t>3</w:t>
      </w:r>
      <w:r w:rsidRPr="005B177A">
        <w:rPr>
          <w:lang w:val="en-GB"/>
        </w:rPr>
        <w:t xml:space="preserve"> School of </w:t>
      </w:r>
      <w:r w:rsidR="00171FA7" w:rsidRPr="005B177A">
        <w:rPr>
          <w:lang w:val="en-GB"/>
        </w:rPr>
        <w:t xml:space="preserve">Chemical Engineering – </w:t>
      </w:r>
      <w:r w:rsidR="00F319BB" w:rsidRPr="005B177A">
        <w:rPr>
          <w:lang w:val="en-GB"/>
        </w:rPr>
        <w:t>Unicamp</w:t>
      </w:r>
      <w:r w:rsidRPr="005B177A">
        <w:rPr>
          <w:lang w:val="en-GB"/>
        </w:rPr>
        <w:t>, Av. Albert Einstein 500, Campinas</w:t>
      </w:r>
      <w:r w:rsidR="00F319BB" w:rsidRPr="005B177A">
        <w:rPr>
          <w:lang w:val="en-GB"/>
        </w:rPr>
        <w:t>–</w:t>
      </w:r>
      <w:r w:rsidRPr="005B177A">
        <w:rPr>
          <w:lang w:val="en-GB"/>
        </w:rPr>
        <w:t>SP, 13083-852, Brazil</w:t>
      </w:r>
    </w:p>
    <w:p w:rsidR="00A5020A" w:rsidRPr="005B177A" w:rsidRDefault="00A5020A">
      <w:pPr>
        <w:pStyle w:val="normal0"/>
        <w:rPr>
          <w:lang w:val="en-GB"/>
        </w:rPr>
      </w:pPr>
      <w:r w:rsidRPr="005B177A">
        <w:rPr>
          <w:lang w:val="en-GB"/>
        </w:rPr>
        <w:t>guira@feq.unicamp.br</w:t>
      </w:r>
    </w:p>
    <w:p w:rsidR="00A5020A" w:rsidRPr="005B177A" w:rsidRDefault="00A5020A">
      <w:pPr>
        <w:pStyle w:val="normal0"/>
        <w:rPr>
          <w:lang w:val="en-GB"/>
        </w:rPr>
      </w:pPr>
    </w:p>
    <w:p w:rsidR="00A5020A" w:rsidRPr="005A3090" w:rsidRDefault="00A5020A" w:rsidP="00F0310D">
      <w:pPr>
        <w:pStyle w:val="normal0"/>
        <w:rPr>
          <w:color w:val="000000"/>
          <w:lang w:val="en-GB"/>
        </w:rPr>
      </w:pPr>
      <w:r w:rsidRPr="005A3090">
        <w:rPr>
          <w:color w:val="000000"/>
          <w:lang w:val="en-GB"/>
        </w:rPr>
        <w:t>The global demand for sustainable, energy-efficient chemical processes has accelerated innovations in methane (</w:t>
      </w:r>
      <w:r w:rsidR="0041775E">
        <w:rPr>
          <w:color w:val="000000"/>
          <w:lang w:val="en-GB"/>
        </w:rPr>
        <w:t>CH</w:t>
      </w:r>
      <w:r w:rsidR="0041775E" w:rsidRPr="0041775E">
        <w:rPr>
          <w:color w:val="000000"/>
          <w:vertAlign w:val="subscript"/>
          <w:lang w:val="en-GB"/>
        </w:rPr>
        <w:t>4</w:t>
      </w:r>
      <w:r w:rsidRPr="005A3090">
        <w:rPr>
          <w:color w:val="000000"/>
          <w:lang w:val="en-GB"/>
        </w:rPr>
        <w:t xml:space="preserve">) utilization. Methane, a versatile and abundant resource, offers dual benefits: meeting energy demands while reducing environmental impacts through advanced conversion methods. However, existing approaches often face the challenge of being endothermic, consuming substantial energy and limiting industrial feasibility. This study introduces </w:t>
      </w:r>
      <w:r w:rsidR="001F6F19" w:rsidRPr="005A3090">
        <w:rPr>
          <w:color w:val="000000"/>
          <w:lang w:val="en-GB"/>
        </w:rPr>
        <w:t xml:space="preserve">as a goal </w:t>
      </w:r>
      <w:r w:rsidRPr="005A3090">
        <w:rPr>
          <w:color w:val="000000"/>
          <w:lang w:val="en-GB"/>
        </w:rPr>
        <w:t>an exothermic process design to optimize energy use</w:t>
      </w:r>
      <w:r w:rsidR="001F6F19" w:rsidRPr="005A3090">
        <w:rPr>
          <w:color w:val="000000"/>
          <w:lang w:val="en-GB"/>
        </w:rPr>
        <w:t>,</w:t>
      </w:r>
      <w:r w:rsidRPr="005A3090">
        <w:rPr>
          <w:color w:val="000000"/>
          <w:lang w:val="en-GB"/>
        </w:rPr>
        <w:t xml:space="preserve"> while achieving sustainability goals</w:t>
      </w:r>
      <w:r w:rsidR="001F6F19" w:rsidRPr="005A3090">
        <w:rPr>
          <w:color w:val="000000"/>
          <w:lang w:val="en-GB"/>
        </w:rPr>
        <w:t xml:space="preserve"> </w:t>
      </w:r>
      <w:r w:rsidR="00930F35" w:rsidRPr="005A3090">
        <w:rPr>
          <w:color w:val="000000"/>
          <w:lang w:val="en-GB"/>
        </w:rPr>
        <w:t>such as avoiding the emi</w:t>
      </w:r>
      <w:r w:rsidR="001F6F19" w:rsidRPr="005A3090">
        <w:rPr>
          <w:color w:val="000000"/>
          <w:lang w:val="en-GB"/>
        </w:rPr>
        <w:t>ssion of carbon dioxide</w:t>
      </w:r>
      <w:r w:rsidRPr="005A3090">
        <w:rPr>
          <w:color w:val="000000"/>
          <w:lang w:val="en-GB"/>
        </w:rPr>
        <w:t xml:space="preserve">. Through thermodynamic pathway evaluations, </w:t>
      </w:r>
      <w:r w:rsidR="006D18B0" w:rsidRPr="005A3090">
        <w:rPr>
          <w:color w:val="000000"/>
          <w:lang w:val="en-GB"/>
        </w:rPr>
        <w:t xml:space="preserve">one case study, the production of </w:t>
      </w:r>
      <w:r w:rsidRPr="005A3090">
        <w:rPr>
          <w:color w:val="000000"/>
          <w:lang w:val="en-GB"/>
        </w:rPr>
        <w:t>urea</w:t>
      </w:r>
      <w:r w:rsidR="006D18B0" w:rsidRPr="005A3090">
        <w:rPr>
          <w:color w:val="000000"/>
          <w:lang w:val="en-GB"/>
        </w:rPr>
        <w:t>,</w:t>
      </w:r>
      <w:r w:rsidR="001F6F19" w:rsidRPr="005A3090">
        <w:rPr>
          <w:color w:val="000000"/>
          <w:lang w:val="en-GB"/>
        </w:rPr>
        <w:t xml:space="preserve"> wa</w:t>
      </w:r>
      <w:r w:rsidRPr="005A3090">
        <w:rPr>
          <w:color w:val="000000"/>
          <w:lang w:val="en-GB"/>
        </w:rPr>
        <w:t xml:space="preserve">s identified as a viable product of </w:t>
      </w:r>
      <w:r w:rsidR="00EF0AE3">
        <w:rPr>
          <w:color w:val="000000"/>
          <w:lang w:val="en-GB"/>
        </w:rPr>
        <w:t>CH</w:t>
      </w:r>
      <w:r w:rsidR="00EF0AE3" w:rsidRPr="00EF0AE3">
        <w:rPr>
          <w:color w:val="000000"/>
          <w:vertAlign w:val="subscript"/>
          <w:lang w:val="en-GB"/>
        </w:rPr>
        <w:t>4</w:t>
      </w:r>
      <w:r w:rsidRPr="005A3090">
        <w:rPr>
          <w:color w:val="000000"/>
          <w:lang w:val="en-GB"/>
        </w:rPr>
        <w:t xml:space="preserve"> conversion, alongside </w:t>
      </w:r>
      <w:r w:rsidR="00930F35" w:rsidRPr="005A3090">
        <w:rPr>
          <w:color w:val="000000"/>
          <w:lang w:val="en-GB"/>
        </w:rPr>
        <w:t xml:space="preserve">with </w:t>
      </w:r>
      <w:r w:rsidRPr="005A3090">
        <w:rPr>
          <w:color w:val="000000"/>
          <w:lang w:val="en-GB"/>
        </w:rPr>
        <w:t>hydrogen generation, in a</w:t>
      </w:r>
      <w:r w:rsidR="00502D70" w:rsidRPr="005A3090">
        <w:rPr>
          <w:color w:val="000000"/>
          <w:lang w:val="en-GB"/>
        </w:rPr>
        <w:t>n</w:t>
      </w:r>
      <w:r w:rsidRPr="005A3090">
        <w:rPr>
          <w:color w:val="000000"/>
          <w:lang w:val="en-GB"/>
        </w:rPr>
        <w:t xml:space="preserve"> </w:t>
      </w:r>
      <w:r w:rsidR="00502D70" w:rsidRPr="005A3090">
        <w:rPr>
          <w:color w:val="000000"/>
          <w:lang w:val="en-GB"/>
        </w:rPr>
        <w:t>overall energetic</w:t>
      </w:r>
      <w:r w:rsidR="00494F21" w:rsidRPr="005A3090">
        <w:rPr>
          <w:color w:val="000000"/>
          <w:lang w:val="en-GB"/>
        </w:rPr>
        <w:t>ally</w:t>
      </w:r>
      <w:r w:rsidR="00502D70" w:rsidRPr="005A3090">
        <w:rPr>
          <w:color w:val="000000"/>
          <w:lang w:val="en-GB"/>
        </w:rPr>
        <w:t xml:space="preserve"> </w:t>
      </w:r>
      <w:r w:rsidR="005B177A" w:rsidRPr="005A3090">
        <w:rPr>
          <w:color w:val="000000"/>
          <w:lang w:val="en-GB"/>
        </w:rPr>
        <w:t>favourable</w:t>
      </w:r>
      <w:r w:rsidRPr="005A3090">
        <w:rPr>
          <w:color w:val="000000"/>
          <w:lang w:val="en-GB"/>
        </w:rPr>
        <w:t xml:space="preserve"> </w:t>
      </w:r>
      <w:r w:rsidR="00502D70" w:rsidRPr="005A3090">
        <w:rPr>
          <w:color w:val="000000"/>
          <w:lang w:val="en-GB"/>
        </w:rPr>
        <w:t>process</w:t>
      </w:r>
      <w:r w:rsidRPr="005A3090">
        <w:rPr>
          <w:color w:val="000000"/>
          <w:lang w:val="en-GB"/>
        </w:rPr>
        <w:t xml:space="preserve">. Rigorous simulations analyze the process feasibility, emphasizing carbon emission reductions and resource efficiency. By integrating advanced </w:t>
      </w:r>
      <w:r w:rsidR="005B177A" w:rsidRPr="005A3090">
        <w:rPr>
          <w:color w:val="000000"/>
          <w:lang w:val="en-GB"/>
        </w:rPr>
        <w:t>modelling</w:t>
      </w:r>
      <w:r w:rsidRPr="005A3090">
        <w:rPr>
          <w:color w:val="000000"/>
          <w:lang w:val="en-GB"/>
        </w:rPr>
        <w:t xml:space="preserve"> tools, this work aligns with global efforts to develop green chemical technologies, highlighting its role in industrial innovation an</w:t>
      </w:r>
      <w:r w:rsidR="005A3090">
        <w:rPr>
          <w:color w:val="000000"/>
          <w:lang w:val="en-GB"/>
        </w:rPr>
        <w:t>d environmental responsibility.</w:t>
      </w:r>
    </w:p>
    <w:p w:rsidR="00A5020A" w:rsidRPr="005B177A" w:rsidRDefault="00A5020A" w:rsidP="003C4525">
      <w:pPr>
        <w:pStyle w:val="normal0"/>
        <w:keepNext/>
        <w:numPr>
          <w:ilvl w:val="1"/>
          <w:numId w:val="1"/>
        </w:numPr>
        <w:tabs>
          <w:tab w:val="clear" w:pos="7100"/>
          <w:tab w:val="left" w:pos="180"/>
        </w:tabs>
        <w:spacing w:before="240" w:after="120" w:line="240" w:lineRule="auto"/>
        <w:jc w:val="left"/>
        <w:rPr>
          <w:b/>
          <w:color w:val="000000"/>
          <w:sz w:val="20"/>
          <w:szCs w:val="20"/>
          <w:lang w:val="en-GB"/>
        </w:rPr>
      </w:pPr>
      <w:r w:rsidRPr="005B177A">
        <w:rPr>
          <w:b/>
          <w:color w:val="000000"/>
          <w:sz w:val="20"/>
          <w:szCs w:val="20"/>
          <w:lang w:val="en-GB"/>
        </w:rPr>
        <w:t>Introduction</w:t>
      </w:r>
    </w:p>
    <w:p w:rsidR="00A5020A" w:rsidRPr="005B177A" w:rsidRDefault="00A5020A">
      <w:pPr>
        <w:pStyle w:val="normal0"/>
        <w:spacing w:before="120" w:after="120"/>
        <w:rPr>
          <w:lang w:val="en-GB"/>
        </w:rPr>
      </w:pPr>
      <w:r w:rsidRPr="005B177A">
        <w:rPr>
          <w:lang w:val="en-GB"/>
        </w:rPr>
        <w:t>Many processes aiming to use CH</w:t>
      </w:r>
      <w:r w:rsidRPr="005B177A">
        <w:rPr>
          <w:vertAlign w:val="subscript"/>
          <w:lang w:val="en-GB"/>
        </w:rPr>
        <w:t>4</w:t>
      </w:r>
      <w:r w:rsidRPr="005B177A">
        <w:rPr>
          <w:lang w:val="en-GB"/>
        </w:rPr>
        <w:t xml:space="preserve"> without emitting CO</w:t>
      </w:r>
      <w:r w:rsidRPr="005B177A">
        <w:rPr>
          <w:vertAlign w:val="subscript"/>
          <w:lang w:val="en-GB"/>
        </w:rPr>
        <w:t>2</w:t>
      </w:r>
      <w:r w:rsidRPr="005B177A">
        <w:rPr>
          <w:lang w:val="en-GB"/>
        </w:rPr>
        <w:t xml:space="preserve"> have the disadvantage of being endothermic, that is, they consume energy, so the motivation for this work is from the </w:t>
      </w:r>
      <w:r w:rsidR="00616160" w:rsidRPr="005B177A">
        <w:rPr>
          <w:lang w:val="en-GB"/>
        </w:rPr>
        <w:t xml:space="preserve">very </w:t>
      </w:r>
      <w:r w:rsidRPr="005B177A">
        <w:rPr>
          <w:lang w:val="en-GB"/>
        </w:rPr>
        <w:t>beginning the process to use reagents and products in such a way that the overall process is exothermal</w:t>
      </w:r>
      <w:r w:rsidR="00105ED8">
        <w:rPr>
          <w:lang w:val="en-GB"/>
        </w:rPr>
        <w:t xml:space="preserve"> or auto</w:t>
      </w:r>
      <w:r w:rsidR="008263CB">
        <w:rPr>
          <w:lang w:val="en-GB"/>
        </w:rPr>
        <w:t>thermal</w:t>
      </w:r>
      <w:r w:rsidRPr="005B177A">
        <w:rPr>
          <w:lang w:val="en-GB"/>
        </w:rPr>
        <w:t xml:space="preserve">, </w:t>
      </w:r>
      <w:r w:rsidR="008263CB">
        <w:rPr>
          <w:lang w:val="en-GB"/>
        </w:rPr>
        <w:t>so that</w:t>
      </w:r>
      <w:r w:rsidRPr="005B177A">
        <w:rPr>
          <w:lang w:val="en-GB"/>
        </w:rPr>
        <w:t xml:space="preserve"> </w:t>
      </w:r>
      <w:r w:rsidR="00EE197F">
        <w:rPr>
          <w:lang w:val="en-GB"/>
        </w:rPr>
        <w:t xml:space="preserve">it </w:t>
      </w:r>
      <w:r w:rsidRPr="005B177A">
        <w:rPr>
          <w:lang w:val="en-GB"/>
        </w:rPr>
        <w:t xml:space="preserve">does not consume energy. The thermodynamic evaluation of a global reaction route is performed in order to determine whether the </w:t>
      </w:r>
      <w:r w:rsidR="00616160" w:rsidRPr="005B177A">
        <w:rPr>
          <w:lang w:val="en-GB"/>
        </w:rPr>
        <w:t xml:space="preserve">overall </w:t>
      </w:r>
      <w:r w:rsidRPr="005B177A">
        <w:rPr>
          <w:lang w:val="en-GB"/>
        </w:rPr>
        <w:t xml:space="preserve">reaction is thermodynamically </w:t>
      </w:r>
      <w:r w:rsidR="00992ED6" w:rsidRPr="005B177A">
        <w:rPr>
          <w:lang w:val="en-GB"/>
        </w:rPr>
        <w:t>favourable</w:t>
      </w:r>
      <w:r w:rsidRPr="005B177A">
        <w:rPr>
          <w:lang w:val="en-GB"/>
        </w:rPr>
        <w:t xml:space="preserve"> or not. This step is important, because it predicts whether </w:t>
      </w:r>
      <w:r w:rsidR="000C7896" w:rsidRPr="005B177A">
        <w:rPr>
          <w:lang w:val="en-GB"/>
        </w:rPr>
        <w:t>the process will consume energy or no</w:t>
      </w:r>
      <w:r w:rsidRPr="005B177A">
        <w:rPr>
          <w:lang w:val="en-GB"/>
        </w:rPr>
        <w:t>t. From the formation enthalpy, the enthalpy variation</w:t>
      </w:r>
      <w:r w:rsidR="00E73C8E" w:rsidRPr="00E73C8E">
        <w:rPr>
          <w:lang w:val="en-GB"/>
        </w:rPr>
        <w:t xml:space="preserve"> </w:t>
      </w:r>
      <w:r w:rsidR="00E73C8E" w:rsidRPr="005B177A">
        <w:rPr>
          <w:lang w:val="en-GB"/>
        </w:rPr>
        <w:t>Δ</w:t>
      </w:r>
      <w:r w:rsidR="00E73C8E">
        <w:rPr>
          <w:lang w:val="en-GB"/>
        </w:rPr>
        <w:t>H</w:t>
      </w:r>
      <w:r w:rsidRPr="005B177A">
        <w:rPr>
          <w:lang w:val="en-GB"/>
        </w:rPr>
        <w:t xml:space="preserve"> of the global reaction is calculated. In addition</w:t>
      </w:r>
      <w:r w:rsidR="000C7896" w:rsidRPr="005B177A">
        <w:rPr>
          <w:lang w:val="en-GB"/>
        </w:rPr>
        <w:t>,</w:t>
      </w:r>
      <w:r w:rsidRPr="005B177A">
        <w:rPr>
          <w:lang w:val="en-GB"/>
        </w:rPr>
        <w:t xml:space="preserve"> ΔG provides important information regarding the spontaneity of the process</w:t>
      </w:r>
      <w:r w:rsidR="005B177A">
        <w:rPr>
          <w:lang w:val="en-GB"/>
        </w:rPr>
        <w:t xml:space="preserve"> or indivi</w:t>
      </w:r>
      <w:r w:rsidR="000C7896" w:rsidRPr="005B177A">
        <w:rPr>
          <w:lang w:val="en-GB"/>
        </w:rPr>
        <w:t>dual steps</w:t>
      </w:r>
      <w:r w:rsidRPr="005B177A">
        <w:rPr>
          <w:lang w:val="en-GB"/>
        </w:rPr>
        <w:t xml:space="preserve">. If ΔG is negative the reaction route is thermodynamically </w:t>
      </w:r>
      <w:r w:rsidR="00992ED6" w:rsidRPr="005B177A">
        <w:rPr>
          <w:lang w:val="en-GB"/>
        </w:rPr>
        <w:t>favourable</w:t>
      </w:r>
      <w:r w:rsidRPr="005B177A">
        <w:rPr>
          <w:lang w:val="en-GB"/>
        </w:rPr>
        <w:t xml:space="preserve">.  </w:t>
      </w:r>
      <w:r w:rsidR="000C7896" w:rsidRPr="005B177A">
        <w:rPr>
          <w:lang w:val="en-GB"/>
        </w:rPr>
        <w:t>Therefore</w:t>
      </w:r>
      <w:r w:rsidRPr="005B177A">
        <w:rPr>
          <w:lang w:val="en-GB"/>
        </w:rPr>
        <w:t xml:space="preserve">, the thermodynamic evaluation of a global reaction route involves the </w:t>
      </w:r>
      <w:r w:rsidR="004B2327" w:rsidRPr="005B177A">
        <w:rPr>
          <w:lang w:val="en-GB"/>
        </w:rPr>
        <w:t>evaluation</w:t>
      </w:r>
      <w:r w:rsidRPr="005B177A">
        <w:rPr>
          <w:lang w:val="en-GB"/>
        </w:rPr>
        <w:t xml:space="preserve"> of the formation enthalpy of reagents and products, the determination of variations of enthalpy</w:t>
      </w:r>
      <w:r w:rsidR="000C7896" w:rsidRPr="005B177A">
        <w:rPr>
          <w:lang w:val="en-GB"/>
        </w:rPr>
        <w:t xml:space="preserve"> and </w:t>
      </w:r>
      <w:r w:rsidRPr="005B177A">
        <w:rPr>
          <w:lang w:val="en-GB"/>
        </w:rPr>
        <w:t>Gibbs</w:t>
      </w:r>
      <w:r w:rsidR="000C7896" w:rsidRPr="005B177A">
        <w:rPr>
          <w:lang w:val="en-GB"/>
        </w:rPr>
        <w:t xml:space="preserve"> energy</w:t>
      </w:r>
      <w:r w:rsidRPr="005B177A">
        <w:rPr>
          <w:lang w:val="en-GB"/>
        </w:rPr>
        <w:t xml:space="preserve">, and the interpretation of the results to determine whether the reaction route is thermodynamically </w:t>
      </w:r>
      <w:r w:rsidR="00992ED6" w:rsidRPr="005B177A">
        <w:rPr>
          <w:lang w:val="en-GB"/>
        </w:rPr>
        <w:t>favourable</w:t>
      </w:r>
      <w:r w:rsidRPr="005B177A">
        <w:rPr>
          <w:lang w:val="en-GB"/>
        </w:rPr>
        <w:t xml:space="preserve"> or not.</w:t>
      </w:r>
    </w:p>
    <w:p w:rsidR="00A5020A" w:rsidRDefault="00A5020A">
      <w:pPr>
        <w:pStyle w:val="normal0"/>
        <w:spacing w:before="120" w:after="120"/>
        <w:rPr>
          <w:lang w:val="en-GB"/>
        </w:rPr>
      </w:pPr>
      <w:r w:rsidRPr="005B177A">
        <w:rPr>
          <w:lang w:val="en-GB"/>
        </w:rPr>
        <w:t xml:space="preserve">The thermodynamics of a global reaction route can also be evaluated by considering the variation of Gibbs </w:t>
      </w:r>
      <w:r w:rsidR="00DB51B4" w:rsidRPr="005B177A">
        <w:rPr>
          <w:lang w:val="en-GB"/>
        </w:rPr>
        <w:t xml:space="preserve">energy </w:t>
      </w:r>
      <w:r w:rsidR="00290320">
        <w:rPr>
          <w:lang w:val="en-GB"/>
        </w:rPr>
        <w:t xml:space="preserve">ΔG. The </w:t>
      </w:r>
      <w:r w:rsidRPr="005B177A">
        <w:rPr>
          <w:lang w:val="en-GB"/>
        </w:rPr>
        <w:t xml:space="preserve">Gibbs </w:t>
      </w:r>
      <w:r w:rsidR="00DB51B4" w:rsidRPr="005B177A">
        <w:rPr>
          <w:lang w:val="en-GB"/>
        </w:rPr>
        <w:t xml:space="preserve">energy </w:t>
      </w:r>
      <w:r w:rsidRPr="005B177A">
        <w:rPr>
          <w:lang w:val="en-GB"/>
        </w:rPr>
        <w:t xml:space="preserve">is the available energy to perform work in a system and is related to variations of enthalpy and entropy. If ΔG is negative, it means that the reaction is spontaneous and the reaction route is thermodynamically </w:t>
      </w:r>
      <w:r w:rsidR="00992ED6" w:rsidRPr="005B177A">
        <w:rPr>
          <w:lang w:val="en-GB"/>
        </w:rPr>
        <w:t>favourable</w:t>
      </w:r>
      <w:r w:rsidRPr="005B177A">
        <w:rPr>
          <w:lang w:val="en-GB"/>
        </w:rPr>
        <w:t xml:space="preserve">. If ΔG is positive, it means that the reaction is not spontaneous and the reaction route is thermodynamically </w:t>
      </w:r>
      <w:r w:rsidR="00992ED6" w:rsidRPr="005B177A">
        <w:rPr>
          <w:lang w:val="en-GB"/>
        </w:rPr>
        <w:t>unfavourable</w:t>
      </w:r>
      <w:r w:rsidRPr="005B177A">
        <w:rPr>
          <w:lang w:val="en-GB"/>
        </w:rPr>
        <w:t>.</w:t>
      </w:r>
      <w:r w:rsidR="00DB51B4" w:rsidRPr="005B177A">
        <w:rPr>
          <w:lang w:val="en-GB"/>
        </w:rPr>
        <w:t xml:space="preserve"> As a case study, t</w:t>
      </w:r>
      <w:r w:rsidRPr="005B177A">
        <w:rPr>
          <w:lang w:val="en-GB"/>
        </w:rPr>
        <w:t xml:space="preserve">he </w:t>
      </w:r>
      <w:r w:rsidR="00DB51B4" w:rsidRPr="005B177A">
        <w:rPr>
          <w:lang w:val="en-GB"/>
        </w:rPr>
        <w:t>proposed approach wa</w:t>
      </w:r>
      <w:r w:rsidRPr="005B177A">
        <w:rPr>
          <w:lang w:val="en-GB"/>
        </w:rPr>
        <w:t xml:space="preserve">s </w:t>
      </w:r>
      <w:r w:rsidR="00DB51B4" w:rsidRPr="005B177A">
        <w:rPr>
          <w:lang w:val="en-GB"/>
        </w:rPr>
        <w:t>applied</w:t>
      </w:r>
      <w:r w:rsidRPr="005B177A">
        <w:rPr>
          <w:lang w:val="en-GB"/>
        </w:rPr>
        <w:t xml:space="preserve"> in a thermodynamic analysis </w:t>
      </w:r>
      <w:r w:rsidR="00DE254E">
        <w:rPr>
          <w:lang w:val="en-GB"/>
        </w:rPr>
        <w:t>for</w:t>
      </w:r>
      <w:r w:rsidR="00DB51B4" w:rsidRPr="005B177A">
        <w:rPr>
          <w:lang w:val="en-GB"/>
        </w:rPr>
        <w:t xml:space="preserve"> the production of urea, which is exothermic, while avoiding the production of</w:t>
      </w:r>
      <w:r w:rsidRPr="005B177A">
        <w:rPr>
          <w:lang w:val="en-GB"/>
        </w:rPr>
        <w:t xml:space="preserve"> CO</w:t>
      </w:r>
      <w:r w:rsidRPr="005B177A">
        <w:rPr>
          <w:vertAlign w:val="subscript"/>
          <w:lang w:val="en-GB"/>
        </w:rPr>
        <w:t>2</w:t>
      </w:r>
      <w:r w:rsidR="00DB51B4" w:rsidRPr="005B177A">
        <w:rPr>
          <w:lang w:val="en-GB"/>
        </w:rPr>
        <w:t xml:space="preserve">. </w:t>
      </w:r>
      <w:r w:rsidRPr="005B177A">
        <w:rPr>
          <w:lang w:val="en-GB"/>
        </w:rPr>
        <w:t xml:space="preserve">For thermodynamic analysis, it is considered how many reaction routes are possible for the same reagent and the same product. The data obtained </w:t>
      </w:r>
      <w:r w:rsidR="00DE254E">
        <w:rPr>
          <w:lang w:val="en-GB"/>
        </w:rPr>
        <w:t>was</w:t>
      </w:r>
      <w:r w:rsidRPr="005B177A">
        <w:rPr>
          <w:lang w:val="en-GB"/>
        </w:rPr>
        <w:t xml:space="preserve"> han</w:t>
      </w:r>
      <w:r w:rsidR="00DE254E">
        <w:rPr>
          <w:lang w:val="en-GB"/>
        </w:rPr>
        <w:t xml:space="preserve">dled in graphical and numerical </w:t>
      </w:r>
      <w:r w:rsidRPr="005B177A">
        <w:rPr>
          <w:lang w:val="en-GB"/>
        </w:rPr>
        <w:t>computational simulations with</w:t>
      </w:r>
      <w:r w:rsidR="00B01DC4">
        <w:rPr>
          <w:lang w:val="en-GB"/>
        </w:rPr>
        <w:t xml:space="preserve"> the help of the software Aspen, which</w:t>
      </w:r>
      <w:r w:rsidRPr="005B177A">
        <w:rPr>
          <w:lang w:val="en-GB"/>
        </w:rPr>
        <w:t xml:space="preserve"> is a process </w:t>
      </w:r>
      <w:r w:rsidR="00992ED6" w:rsidRPr="005B177A">
        <w:rPr>
          <w:lang w:val="en-GB"/>
        </w:rPr>
        <w:t>modelling</w:t>
      </w:r>
      <w:r w:rsidRPr="005B177A">
        <w:rPr>
          <w:lang w:val="en-GB"/>
        </w:rPr>
        <w:t xml:space="preserve"> tool used for process monitoring, optimization and simulation.</w:t>
      </w:r>
      <w:r w:rsidR="00DB51B4" w:rsidRPr="005B177A">
        <w:rPr>
          <w:lang w:val="en-GB"/>
        </w:rPr>
        <w:t xml:space="preserve"> Also</w:t>
      </w:r>
      <w:r w:rsidRPr="005B177A">
        <w:rPr>
          <w:lang w:val="en-GB"/>
        </w:rPr>
        <w:t xml:space="preserve">, </w:t>
      </w:r>
      <w:r w:rsidR="00DB51B4" w:rsidRPr="005B177A">
        <w:rPr>
          <w:lang w:val="en-GB"/>
        </w:rPr>
        <w:t>this particular case study</w:t>
      </w:r>
      <w:r w:rsidR="00B01DC4">
        <w:rPr>
          <w:lang w:val="en-GB"/>
        </w:rPr>
        <w:t xml:space="preserve"> (urea production)</w:t>
      </w:r>
      <w:r w:rsidR="00DB51B4" w:rsidRPr="005B177A">
        <w:rPr>
          <w:lang w:val="en-GB"/>
        </w:rPr>
        <w:t xml:space="preserve"> uses the CO</w:t>
      </w:r>
      <w:r w:rsidR="00DB51B4" w:rsidRPr="005B177A">
        <w:rPr>
          <w:vertAlign w:val="subscript"/>
          <w:lang w:val="en-GB"/>
        </w:rPr>
        <w:t>2</w:t>
      </w:r>
      <w:r w:rsidR="00DB51B4" w:rsidRPr="005B177A">
        <w:rPr>
          <w:lang w:val="en-GB"/>
        </w:rPr>
        <w:t xml:space="preserve"> generated in one </w:t>
      </w:r>
      <w:r w:rsidR="00482AF0" w:rsidRPr="005B177A">
        <w:rPr>
          <w:lang w:val="en-GB"/>
        </w:rPr>
        <w:t xml:space="preserve">reaction </w:t>
      </w:r>
      <w:r w:rsidR="00DB51B4" w:rsidRPr="005B177A">
        <w:rPr>
          <w:lang w:val="en-GB"/>
        </w:rPr>
        <w:t>step to produce the final product, thus preventing</w:t>
      </w:r>
      <w:r w:rsidRPr="005B177A">
        <w:rPr>
          <w:lang w:val="en-GB"/>
        </w:rPr>
        <w:t xml:space="preserve"> carbon dioxide from being released into the atmosphere.</w:t>
      </w:r>
      <w:r w:rsidR="000C20C5" w:rsidRPr="005B177A">
        <w:rPr>
          <w:lang w:val="en-GB"/>
        </w:rPr>
        <w:t xml:space="preserve"> Finally, hydrogen is </w:t>
      </w:r>
      <w:r w:rsidR="00922BBF">
        <w:rPr>
          <w:lang w:val="en-GB"/>
        </w:rPr>
        <w:t xml:space="preserve">also </w:t>
      </w:r>
      <w:r w:rsidR="000C20C5" w:rsidRPr="005B177A">
        <w:rPr>
          <w:lang w:val="en-GB"/>
        </w:rPr>
        <w:t xml:space="preserve">produced as a by-product in this </w:t>
      </w:r>
      <w:r w:rsidR="00374B4C">
        <w:rPr>
          <w:lang w:val="en-GB"/>
        </w:rPr>
        <w:t xml:space="preserve">particular </w:t>
      </w:r>
      <w:r w:rsidR="000C20C5" w:rsidRPr="005B177A">
        <w:rPr>
          <w:lang w:val="en-GB"/>
        </w:rPr>
        <w:t>process.</w:t>
      </w:r>
    </w:p>
    <w:p w:rsidR="00F0310D" w:rsidRPr="005B177A" w:rsidRDefault="00F0310D">
      <w:pPr>
        <w:pStyle w:val="normal0"/>
        <w:spacing w:before="120" w:after="120"/>
        <w:rPr>
          <w:lang w:val="en-GB"/>
        </w:rPr>
      </w:pPr>
    </w:p>
    <w:p w:rsidR="00A5020A" w:rsidRDefault="00A5020A" w:rsidP="00D32035">
      <w:pPr>
        <w:pStyle w:val="normal0"/>
        <w:spacing w:before="240" w:after="120"/>
        <w:rPr>
          <w:b/>
          <w:sz w:val="20"/>
          <w:szCs w:val="20"/>
          <w:lang w:val="en-GB"/>
        </w:rPr>
      </w:pPr>
      <w:r w:rsidRPr="005B177A">
        <w:rPr>
          <w:b/>
          <w:sz w:val="20"/>
          <w:szCs w:val="20"/>
          <w:lang w:val="en-GB"/>
        </w:rPr>
        <w:lastRenderedPageBreak/>
        <w:t>2. Methodology</w:t>
      </w:r>
      <w:r w:rsidR="003825E5">
        <w:rPr>
          <w:b/>
          <w:sz w:val="20"/>
          <w:szCs w:val="20"/>
          <w:lang w:val="en-GB"/>
        </w:rPr>
        <w:t xml:space="preserve"> - Linear Programming Model</w:t>
      </w:r>
    </w:p>
    <w:p w:rsidR="00AE6786" w:rsidRDefault="00BA14A3" w:rsidP="000D063E">
      <w:pPr>
        <w:pStyle w:val="normal0"/>
        <w:spacing w:before="120" w:after="120"/>
        <w:rPr>
          <w:lang w:val="en-GB"/>
        </w:rPr>
      </w:pPr>
      <w:r>
        <w:rPr>
          <w:lang w:val="en-GB"/>
        </w:rPr>
        <w:t xml:space="preserve">This is a synthesis strategy, since the process is not known in advance, not even the products and </w:t>
      </w:r>
      <w:r w:rsidR="0075275F">
        <w:rPr>
          <w:lang w:val="en-GB"/>
        </w:rPr>
        <w:t>reactants</w:t>
      </w:r>
      <w:r>
        <w:rPr>
          <w:lang w:val="en-GB"/>
        </w:rPr>
        <w:t>, except methane as raw material</w:t>
      </w:r>
      <w:r w:rsidR="0075275F">
        <w:rPr>
          <w:lang w:val="en-GB"/>
        </w:rPr>
        <w:t xml:space="preserve">, hydrogen as a </w:t>
      </w:r>
      <w:r w:rsidR="005B5D6F">
        <w:rPr>
          <w:lang w:val="en-GB"/>
        </w:rPr>
        <w:t>by-</w:t>
      </w:r>
      <w:r w:rsidR="0075275F">
        <w:rPr>
          <w:lang w:val="en-GB"/>
        </w:rPr>
        <w:t>product</w:t>
      </w:r>
      <w:r>
        <w:rPr>
          <w:lang w:val="en-GB"/>
        </w:rPr>
        <w:t xml:space="preserve"> and carbon dioxide is not desired as a product</w:t>
      </w:r>
      <w:r w:rsidR="0075275F">
        <w:rPr>
          <w:lang w:val="en-GB"/>
        </w:rPr>
        <w:t xml:space="preserve"> (maybe only as </w:t>
      </w:r>
      <w:r w:rsidR="0055774B">
        <w:rPr>
          <w:lang w:val="en-GB"/>
        </w:rPr>
        <w:t xml:space="preserve">an </w:t>
      </w:r>
      <w:r w:rsidR="0075275F">
        <w:rPr>
          <w:lang w:val="en-GB"/>
        </w:rPr>
        <w:t>intermediate)</w:t>
      </w:r>
      <w:r>
        <w:rPr>
          <w:lang w:val="en-GB"/>
        </w:rPr>
        <w:t>. Also, it is desirable that t</w:t>
      </w:r>
      <w:r w:rsidR="0075275F">
        <w:rPr>
          <w:lang w:val="en-GB"/>
        </w:rPr>
        <w:t>he global process be exothermic</w:t>
      </w:r>
      <w:r w:rsidR="00AE6786">
        <w:rPr>
          <w:lang w:val="en-GB"/>
        </w:rPr>
        <w:t>.</w:t>
      </w:r>
    </w:p>
    <w:p w:rsidR="00120FB6" w:rsidRDefault="00826546" w:rsidP="000D063E">
      <w:pPr>
        <w:pStyle w:val="normal0"/>
        <w:spacing w:before="120" w:after="120"/>
        <w:rPr>
          <w:lang w:val="en-GB"/>
        </w:rPr>
      </w:pPr>
      <w:r w:rsidRPr="00826546">
        <w:rPr>
          <w:lang w:val="en-GB"/>
        </w:rPr>
        <w:t>The first step is the definition of the products and the reactants. They are not specified in advance, they will be determined from a list of possible substances that may exist or not. These substances have their enthalpies evaluated at the conditions of the feed and exit of the process (reference state), to calculate the total enthalpy variation, so that the whole process is exothermic, to avoid energy consumption. This problem can then be formulated as a linear programming model, whose resolution will define the overall process, and is given by:</w:t>
      </w:r>
      <w:bookmarkStart w:id="1" w:name="_MON_1802761043"/>
      <w:bookmarkEnd w:id="1"/>
      <w:r w:rsidR="00B367B9" w:rsidRPr="005F3557">
        <w:rPr>
          <w:lang w:val="en-GB"/>
        </w:rPr>
        <w:object w:dxaOrig="8778"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9.45pt" o:ole="">
            <v:imagedata r:id="rId7" o:title=""/>
          </v:shape>
          <o:OLEObject Type="Embed" ProgID="Word.Document.12" ShapeID="_x0000_i1025" DrawAspect="Content" ObjectID="_1804934528" r:id="rId8">
            <o:FieldCodes>\s</o:FieldCodes>
          </o:OLEObject>
        </w:object>
      </w:r>
      <w:bookmarkStart w:id="2" w:name="_MON_1802761955"/>
      <w:bookmarkEnd w:id="2"/>
      <w:r w:rsidR="004C031E" w:rsidRPr="005F3557">
        <w:rPr>
          <w:lang w:val="en-GB"/>
        </w:rPr>
        <w:object w:dxaOrig="8778" w:dyaOrig="925">
          <v:shape id="_x0000_i1026" type="#_x0000_t75" style="width:438.9pt;height:46.35pt" o:ole="">
            <v:imagedata r:id="rId9" o:title=""/>
          </v:shape>
          <o:OLEObject Type="Embed" ProgID="Word.Document.12" ShapeID="_x0000_i1026" DrawAspect="Content" ObjectID="_1804934529" r:id="rId10">
            <o:FieldCodes>\s</o:FieldCodes>
          </o:OLEObject>
        </w:object>
      </w:r>
      <w:bookmarkStart w:id="3" w:name="_MON_1802843700"/>
      <w:bookmarkEnd w:id="3"/>
      <w:r w:rsidR="00B367B9" w:rsidRPr="005F3557">
        <w:rPr>
          <w:lang w:val="en-GB"/>
        </w:rPr>
        <w:object w:dxaOrig="8778" w:dyaOrig="795">
          <v:shape id="_x0000_i1027" type="#_x0000_t75" style="width:439.5pt;height:39.45pt" o:ole="">
            <v:imagedata r:id="rId11" o:title=""/>
          </v:shape>
          <o:OLEObject Type="Embed" ProgID="Word.Document.12" ShapeID="_x0000_i1027" DrawAspect="Content" ObjectID="_1804934530" r:id="rId12">
            <o:FieldCodes>\s</o:FieldCodes>
          </o:OLEObject>
        </w:object>
      </w:r>
      <w:bookmarkStart w:id="4" w:name="_MON_1802843964"/>
      <w:bookmarkEnd w:id="4"/>
      <w:r w:rsidR="00B367B9" w:rsidRPr="005F3557">
        <w:rPr>
          <w:lang w:val="en-GB"/>
        </w:rPr>
        <w:object w:dxaOrig="8778" w:dyaOrig="795">
          <v:shape id="_x0000_i1028" type="#_x0000_t75" style="width:439.5pt;height:39.45pt" o:ole="">
            <v:imagedata r:id="rId13" o:title=""/>
          </v:shape>
          <o:OLEObject Type="Embed" ProgID="Word.Document.12" ShapeID="_x0000_i1028" DrawAspect="Content" ObjectID="_1804934531" r:id="rId14">
            <o:FieldCodes>\s</o:FieldCodes>
          </o:OLEObject>
        </w:object>
      </w:r>
      <w:r w:rsidR="008D7AD6">
        <w:rPr>
          <w:lang w:val="en-GB"/>
        </w:rPr>
        <w:t>where:</w:t>
      </w:r>
    </w:p>
    <w:bookmarkStart w:id="5" w:name="_MON_1802844116"/>
    <w:bookmarkEnd w:id="5"/>
    <w:p w:rsidR="00287A42" w:rsidRDefault="00246EA5" w:rsidP="00B524DA">
      <w:pPr>
        <w:pStyle w:val="normal0"/>
        <w:spacing w:before="120" w:after="120"/>
        <w:rPr>
          <w:sz w:val="20"/>
          <w:szCs w:val="20"/>
          <w:lang w:val="en-GB"/>
        </w:rPr>
      </w:pPr>
      <w:r w:rsidRPr="005F3557">
        <w:rPr>
          <w:lang w:val="en-GB"/>
        </w:rPr>
        <w:object w:dxaOrig="8778" w:dyaOrig="965">
          <v:shape id="_x0000_i1029" type="#_x0000_t75" style="width:438.9pt;height:48.2pt" o:ole="">
            <v:imagedata r:id="rId15" o:title=""/>
          </v:shape>
          <o:OLEObject Type="Embed" ProgID="Word.Document.12" ShapeID="_x0000_i1029" DrawAspect="Content" ObjectID="_1804934532" r:id="rId16">
            <o:FieldCodes>\s</o:FieldCodes>
          </o:OLEObject>
        </w:object>
      </w:r>
      <w:r w:rsidR="0024477F">
        <w:rPr>
          <w:lang w:val="en-GB"/>
        </w:rPr>
        <w:t>and where th</w:t>
      </w:r>
      <w:r w:rsidR="007861B8">
        <w:rPr>
          <w:lang w:val="en-GB"/>
        </w:rPr>
        <w:t xml:space="preserve">e decision variables are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i</m:t>
            </m:r>
          </m:sub>
        </m:sSub>
      </m:oMath>
      <w:r w:rsidR="007861B8">
        <w:rPr>
          <w:lang w:val="en-GB"/>
        </w:rPr>
        <w:t>: if</w:t>
      </w:r>
      <w:r w:rsidR="00913F9E">
        <w:rPr>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i</m:t>
            </m:r>
          </m:sub>
        </m:sSub>
        <m:r>
          <w:rPr>
            <w:rFonts w:ascii="Cambria Math" w:hAnsi="Cambria Math"/>
            <w:sz w:val="20"/>
            <w:szCs w:val="20"/>
            <w:lang w:val="en-GB"/>
          </w:rPr>
          <m:t>&gt;0</m:t>
        </m:r>
      </m:oMath>
      <w:r w:rsidR="00913F9E">
        <w:rPr>
          <w:sz w:val="20"/>
          <w:szCs w:val="20"/>
          <w:lang w:val="en-GB"/>
        </w:rPr>
        <w:t xml:space="preserve"> </w:t>
      </w:r>
      <w:r w:rsidR="00913F9E" w:rsidRPr="005F669F">
        <w:rPr>
          <w:lang w:val="en-GB"/>
        </w:rPr>
        <w:t xml:space="preserve">the substance exists in the global mass balance, </w:t>
      </w:r>
      <w:r w:rsidR="000F72CE" w:rsidRPr="005F669F">
        <w:rPr>
          <w:lang w:val="en-GB"/>
        </w:rPr>
        <w:t>while</w:t>
      </w:r>
      <w:r w:rsidR="00913F9E" w:rsidRPr="005F669F">
        <w:rPr>
          <w:lang w:val="en-GB"/>
        </w:rPr>
        <w:t xml:space="preserve"> if</w:t>
      </w:r>
      <w:r w:rsidR="00913F9E">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i</m:t>
            </m:r>
          </m:sub>
        </m:sSub>
        <m:r>
          <w:rPr>
            <w:rFonts w:ascii="Cambria Math" w:hAnsi="Cambria Math"/>
            <w:sz w:val="20"/>
            <w:szCs w:val="20"/>
            <w:lang w:val="en-GB"/>
          </w:rPr>
          <m:t>=0</m:t>
        </m:r>
      </m:oMath>
      <w:r w:rsidR="000F72CE">
        <w:rPr>
          <w:sz w:val="20"/>
          <w:szCs w:val="20"/>
          <w:lang w:val="en-GB"/>
        </w:rPr>
        <w:t xml:space="preserve"> </w:t>
      </w:r>
      <w:r w:rsidR="000F72CE" w:rsidRPr="005F669F">
        <w:rPr>
          <w:lang w:val="en-GB"/>
        </w:rPr>
        <w:t xml:space="preserve">the substance </w:t>
      </w:r>
      <w:r w:rsidR="00F70133" w:rsidRPr="005F669F">
        <w:rPr>
          <w:lang w:val="en-GB"/>
        </w:rPr>
        <w:t>is</w:t>
      </w:r>
      <w:r w:rsidR="000F72CE" w:rsidRPr="005F669F">
        <w:rPr>
          <w:lang w:val="en-GB"/>
        </w:rPr>
        <w:t xml:space="preserve"> not </w:t>
      </w:r>
      <w:r w:rsidR="00F70133" w:rsidRPr="005F669F">
        <w:rPr>
          <w:lang w:val="en-GB"/>
        </w:rPr>
        <w:t>present</w:t>
      </w:r>
      <w:r w:rsidR="0004424C" w:rsidRPr="005F669F">
        <w:rPr>
          <w:lang w:val="en-GB"/>
        </w:rPr>
        <w:t xml:space="preserve"> in the global balance</w:t>
      </w:r>
      <w:r w:rsidR="000F72CE" w:rsidRPr="005F669F">
        <w:rPr>
          <w:lang w:val="en-GB"/>
        </w:rPr>
        <w:t xml:space="preserve"> (it may </w:t>
      </w:r>
      <w:r w:rsidR="003A229C">
        <w:rPr>
          <w:lang w:val="en-GB"/>
        </w:rPr>
        <w:t xml:space="preserve">only </w:t>
      </w:r>
      <w:r w:rsidR="00397FCD" w:rsidRPr="005F669F">
        <w:rPr>
          <w:lang w:val="en-GB"/>
        </w:rPr>
        <w:t xml:space="preserve">exist </w:t>
      </w:r>
      <w:r w:rsidR="000F72CE" w:rsidRPr="005F669F">
        <w:rPr>
          <w:lang w:val="en-GB"/>
        </w:rPr>
        <w:t xml:space="preserve">as an </w:t>
      </w:r>
      <w:r w:rsidR="003A229C">
        <w:rPr>
          <w:lang w:val="en-GB"/>
        </w:rPr>
        <w:t>intermediate</w:t>
      </w:r>
      <w:r w:rsidR="000F72CE" w:rsidRPr="005F669F">
        <w:rPr>
          <w:lang w:val="en-GB"/>
        </w:rPr>
        <w:t>).</w:t>
      </w:r>
      <w:r w:rsidR="00FE37D7">
        <w:rPr>
          <w:sz w:val="20"/>
          <w:szCs w:val="20"/>
          <w:lang w:val="en-GB"/>
        </w:rPr>
        <w:t xml:space="preserve"> </w:t>
      </w:r>
      <w:r w:rsidR="00FE37D7" w:rsidRPr="005F669F">
        <w:rPr>
          <w:lang w:val="en-GB"/>
        </w:rPr>
        <w:t>One critical step is the definition of the set</w:t>
      </w:r>
      <w:r w:rsidR="00FE37D7">
        <w:rPr>
          <w:sz w:val="20"/>
          <w:szCs w:val="20"/>
          <w:lang w:val="en-GB"/>
        </w:rPr>
        <w:t xml:space="preserve"> </w:t>
      </w:r>
      <m:oMath>
        <m:r>
          <w:rPr>
            <w:rFonts w:ascii="Cambria Math" w:hAnsi="Cambria Math"/>
            <w:sz w:val="20"/>
            <w:szCs w:val="20"/>
            <w:lang w:val="en-GB"/>
          </w:rPr>
          <m:t>i∈</m:t>
        </m:r>
        <m:d>
          <m:dPr>
            <m:begChr m:val="{"/>
            <m:endChr m:val="}"/>
            <m:ctrlPr>
              <w:rPr>
                <w:rFonts w:ascii="Cambria Math" w:hAnsi="Cambria Math"/>
                <w:i/>
                <w:sz w:val="20"/>
                <w:szCs w:val="20"/>
                <w:lang w:val="en-GB"/>
              </w:rPr>
            </m:ctrlPr>
          </m:dPr>
          <m:e>
            <m:r>
              <m:rPr>
                <m:nor/>
              </m:rPr>
              <w:rPr>
                <w:rFonts w:ascii="Cambria Math" w:hAnsi="Cambria Math"/>
                <w:sz w:val="20"/>
                <w:szCs w:val="20"/>
                <w:lang w:val="en-GB"/>
              </w:rPr>
              <m:t>list of possible substances</m:t>
            </m:r>
          </m:e>
        </m:d>
      </m:oMath>
      <w:r w:rsidR="00FE37D7">
        <w:rPr>
          <w:sz w:val="20"/>
          <w:szCs w:val="20"/>
          <w:lang w:val="en-GB"/>
        </w:rPr>
        <w:t>.</w:t>
      </w:r>
    </w:p>
    <w:p w:rsidR="00396E06" w:rsidRPr="005F669F" w:rsidRDefault="00396E06" w:rsidP="00B524DA">
      <w:pPr>
        <w:pStyle w:val="normal0"/>
        <w:spacing w:before="120" w:after="120"/>
        <w:rPr>
          <w:lang w:val="en-GB"/>
        </w:rPr>
      </w:pPr>
      <w:r w:rsidRPr="00396E06">
        <w:rPr>
          <w:lang w:val="en-GB"/>
        </w:rPr>
        <w:t>Once the raw materials and products have been determined, a viable reaction route must be found to obtain the desired products from the raw materials. This step involves an analysis of the Gibbs energy of each intermediate reaction involved, so that each reaction has a favo</w:t>
      </w:r>
      <w:r>
        <w:rPr>
          <w:lang w:val="en-GB"/>
        </w:rPr>
        <w:t>u</w:t>
      </w:r>
      <w:r w:rsidRPr="00396E06">
        <w:rPr>
          <w:lang w:val="en-GB"/>
        </w:rPr>
        <w:t>rable equilibrium at the temperature, pressure and composition of each reaction</w:t>
      </w:r>
      <w:r w:rsidR="00E16362">
        <w:rPr>
          <w:lang w:val="en-GB"/>
        </w:rPr>
        <w:t xml:space="preserve"> step</w:t>
      </w:r>
      <w:r w:rsidR="00FE4C58">
        <w:rPr>
          <w:lang w:val="en-GB"/>
        </w:rPr>
        <w:t xml:space="preserve"> in real operating conditions (</w:t>
      </w:r>
      <w:r w:rsidR="005F73F2" w:rsidRPr="005F73F2">
        <w:rPr>
          <w:lang w:val="en-GB"/>
        </w:rPr>
        <w:t>since intermediate steps may use different temperatures and pressures than the reference</w:t>
      </w:r>
      <w:r w:rsidR="005F73F2">
        <w:rPr>
          <w:lang w:val="en-GB"/>
        </w:rPr>
        <w:t xml:space="preserve"> </w:t>
      </w:r>
      <w:r w:rsidR="00C343D6">
        <w:rPr>
          <w:lang w:val="en-GB"/>
        </w:rPr>
        <w:t>conditions</w:t>
      </w:r>
      <w:r w:rsidR="00FE4C58">
        <w:rPr>
          <w:lang w:val="en-GB"/>
        </w:rPr>
        <w:t>)</w:t>
      </w:r>
      <w:r w:rsidRPr="00396E06">
        <w:rPr>
          <w:lang w:val="en-GB"/>
        </w:rPr>
        <w:t>.</w:t>
      </w:r>
      <w:r w:rsidR="00EB6DA6">
        <w:rPr>
          <w:lang w:val="en-GB"/>
        </w:rPr>
        <w:t xml:space="preserve"> </w:t>
      </w:r>
      <w:r w:rsidR="00EB6DA6" w:rsidRPr="00EB6DA6">
        <w:rPr>
          <w:lang w:val="en-GB"/>
        </w:rPr>
        <w:t xml:space="preserve">This stage of the project </w:t>
      </w:r>
      <w:r w:rsidR="00EB6DA6">
        <w:rPr>
          <w:lang w:val="en-GB"/>
        </w:rPr>
        <w:t>can</w:t>
      </w:r>
      <w:r w:rsidR="00EB6DA6" w:rsidRPr="00EB6DA6">
        <w:rPr>
          <w:lang w:val="en-GB"/>
        </w:rPr>
        <w:t xml:space="preserve"> </w:t>
      </w:r>
      <w:r w:rsidR="003D3C1E">
        <w:rPr>
          <w:lang w:val="en-GB"/>
        </w:rPr>
        <w:t xml:space="preserve">then </w:t>
      </w:r>
      <w:r w:rsidR="00EB6DA6" w:rsidRPr="00EB6DA6">
        <w:rPr>
          <w:lang w:val="en-GB"/>
        </w:rPr>
        <w:t xml:space="preserve">be carried out using </w:t>
      </w:r>
      <w:r w:rsidR="003D3C1E">
        <w:rPr>
          <w:lang w:val="en-GB"/>
        </w:rPr>
        <w:t xml:space="preserve">a </w:t>
      </w:r>
      <w:r w:rsidR="00EB6DA6" w:rsidRPr="00EB6DA6">
        <w:rPr>
          <w:lang w:val="en-GB"/>
        </w:rPr>
        <w:t xml:space="preserve">commercial software, such as Aspen, to simulate the entire process </w:t>
      </w:r>
      <w:r w:rsidR="003D3C1E">
        <w:rPr>
          <w:lang w:val="en-GB"/>
        </w:rPr>
        <w:t xml:space="preserve">with </w:t>
      </w:r>
      <w:r w:rsidR="00AD54F9">
        <w:rPr>
          <w:lang w:val="en-GB"/>
        </w:rPr>
        <w:t>the</w:t>
      </w:r>
      <w:r w:rsidR="003D3C1E">
        <w:rPr>
          <w:lang w:val="en-GB"/>
        </w:rPr>
        <w:t xml:space="preserve"> route</w:t>
      </w:r>
      <w:r w:rsidR="00A64C64">
        <w:rPr>
          <w:lang w:val="en-GB"/>
        </w:rPr>
        <w:t>s</w:t>
      </w:r>
      <w:r w:rsidR="003D3C1E">
        <w:rPr>
          <w:lang w:val="en-GB"/>
        </w:rPr>
        <w:t xml:space="preserve"> </w:t>
      </w:r>
      <w:r w:rsidR="00774404">
        <w:rPr>
          <w:lang w:val="en-GB"/>
        </w:rPr>
        <w:t>considered</w:t>
      </w:r>
      <w:r w:rsidR="003D3C1E">
        <w:rPr>
          <w:lang w:val="en-GB"/>
        </w:rPr>
        <w:t>.</w:t>
      </w:r>
    </w:p>
    <w:p w:rsidR="001503E6" w:rsidRDefault="001503E6" w:rsidP="00D32035">
      <w:pPr>
        <w:pStyle w:val="normal0"/>
        <w:spacing w:before="240" w:after="120"/>
        <w:rPr>
          <w:b/>
          <w:sz w:val="20"/>
          <w:szCs w:val="20"/>
          <w:lang w:val="en-GB"/>
        </w:rPr>
      </w:pPr>
      <w:r>
        <w:rPr>
          <w:b/>
          <w:sz w:val="20"/>
          <w:szCs w:val="20"/>
          <w:lang w:val="en-GB"/>
        </w:rPr>
        <w:t>3</w:t>
      </w:r>
      <w:r w:rsidRPr="005B177A">
        <w:rPr>
          <w:b/>
          <w:sz w:val="20"/>
          <w:szCs w:val="20"/>
          <w:lang w:val="en-GB"/>
        </w:rPr>
        <w:t xml:space="preserve">. </w:t>
      </w:r>
      <w:r>
        <w:rPr>
          <w:b/>
          <w:sz w:val="20"/>
          <w:szCs w:val="20"/>
          <w:lang w:val="en-GB"/>
        </w:rPr>
        <w:t>Case Study</w:t>
      </w:r>
      <w:r w:rsidR="0079045E">
        <w:rPr>
          <w:b/>
          <w:sz w:val="20"/>
          <w:szCs w:val="20"/>
          <w:lang w:val="en-GB"/>
        </w:rPr>
        <w:t xml:space="preserve"> - Global Route</w:t>
      </w:r>
    </w:p>
    <w:p w:rsidR="00581446" w:rsidRPr="00581446" w:rsidRDefault="00581446" w:rsidP="00581446">
      <w:pPr>
        <w:pStyle w:val="normal0"/>
        <w:spacing w:before="120" w:after="120"/>
        <w:rPr>
          <w:lang w:val="en-GB"/>
        </w:rPr>
      </w:pPr>
      <w:r w:rsidRPr="00581446">
        <w:rPr>
          <w:lang w:val="en-GB"/>
        </w:rPr>
        <w:t xml:space="preserve">This is just an illustrative example, since the </w:t>
      </w:r>
      <w:r w:rsidR="00474B57">
        <w:rPr>
          <w:lang w:val="en-GB"/>
        </w:rPr>
        <w:t xml:space="preserve">proposed </w:t>
      </w:r>
      <w:r w:rsidRPr="00581446">
        <w:rPr>
          <w:lang w:val="en-GB"/>
        </w:rPr>
        <w:t>methodology is gen</w:t>
      </w:r>
      <w:r>
        <w:rPr>
          <w:lang w:val="en-GB"/>
        </w:rPr>
        <w:t>eral. The following conditions we</w:t>
      </w:r>
      <w:r w:rsidRPr="00581446">
        <w:rPr>
          <w:lang w:val="en-GB"/>
        </w:rPr>
        <w:t>re considered:</w:t>
      </w:r>
    </w:p>
    <w:p w:rsidR="00581446" w:rsidRPr="00581446" w:rsidRDefault="00581446" w:rsidP="00581446">
      <w:pPr>
        <w:pStyle w:val="normal0"/>
        <w:spacing w:before="120" w:after="120"/>
        <w:rPr>
          <w:lang w:val="en-GB"/>
        </w:rPr>
      </w:pPr>
      <w:r w:rsidRPr="00581446">
        <w:rPr>
          <w:lang w:val="en-GB"/>
        </w:rPr>
        <w:t>- potential raw materials: CH</w:t>
      </w:r>
      <w:r w:rsidRPr="00581446">
        <w:rPr>
          <w:vertAlign w:val="subscript"/>
          <w:lang w:val="en-GB"/>
        </w:rPr>
        <w:t>4</w:t>
      </w:r>
      <w:r w:rsidRPr="00581446">
        <w:rPr>
          <w:lang w:val="en-GB"/>
        </w:rPr>
        <w:t>, O</w:t>
      </w:r>
      <w:r w:rsidRPr="00581446">
        <w:rPr>
          <w:vertAlign w:val="subscript"/>
          <w:lang w:val="en-GB"/>
        </w:rPr>
        <w:t>2</w:t>
      </w:r>
      <w:r w:rsidRPr="00581446">
        <w:rPr>
          <w:lang w:val="en-GB"/>
        </w:rPr>
        <w:t>, N</w:t>
      </w:r>
      <w:r w:rsidRPr="00581446">
        <w:rPr>
          <w:vertAlign w:val="subscript"/>
          <w:lang w:val="en-GB"/>
        </w:rPr>
        <w:t>2</w:t>
      </w:r>
      <w:r w:rsidRPr="00581446">
        <w:rPr>
          <w:lang w:val="en-GB"/>
        </w:rPr>
        <w:t>, H</w:t>
      </w:r>
      <w:r w:rsidRPr="00581446">
        <w:rPr>
          <w:vertAlign w:val="subscript"/>
          <w:lang w:val="en-GB"/>
        </w:rPr>
        <w:t>2</w:t>
      </w:r>
      <w:r w:rsidRPr="00581446">
        <w:rPr>
          <w:lang w:val="en-GB"/>
        </w:rPr>
        <w:t>O</w:t>
      </w:r>
    </w:p>
    <w:p w:rsidR="00581446" w:rsidRPr="00581446" w:rsidRDefault="00581446" w:rsidP="00581446">
      <w:pPr>
        <w:pStyle w:val="normal0"/>
        <w:spacing w:before="120" w:after="120"/>
        <w:rPr>
          <w:lang w:val="en-GB"/>
        </w:rPr>
      </w:pPr>
      <w:r w:rsidRPr="00581446">
        <w:rPr>
          <w:lang w:val="en-GB"/>
        </w:rPr>
        <w:t>- potential products: (NH</w:t>
      </w:r>
      <w:r w:rsidRPr="00581446">
        <w:rPr>
          <w:vertAlign w:val="subscript"/>
          <w:lang w:val="en-GB"/>
        </w:rPr>
        <w:t>2</w:t>
      </w:r>
      <w:r w:rsidRPr="00581446">
        <w:rPr>
          <w:lang w:val="en-GB"/>
        </w:rPr>
        <w:t>)</w:t>
      </w:r>
      <w:r w:rsidRPr="00581446">
        <w:rPr>
          <w:vertAlign w:val="subscript"/>
          <w:lang w:val="en-GB"/>
        </w:rPr>
        <w:t>2</w:t>
      </w:r>
      <w:r w:rsidRPr="00581446">
        <w:rPr>
          <w:lang w:val="en-GB"/>
        </w:rPr>
        <w:t>CO</w:t>
      </w:r>
      <w:r w:rsidR="00185BC0">
        <w:rPr>
          <w:lang w:val="en-GB"/>
        </w:rPr>
        <w:t xml:space="preserve"> (urea)</w:t>
      </w:r>
      <w:r w:rsidRPr="00581446">
        <w:rPr>
          <w:lang w:val="en-GB"/>
        </w:rPr>
        <w:t>, C</w:t>
      </w:r>
      <w:r w:rsidRPr="00581446">
        <w:rPr>
          <w:vertAlign w:val="subscript"/>
          <w:lang w:val="en-GB"/>
        </w:rPr>
        <w:t>2</w:t>
      </w:r>
      <w:r w:rsidRPr="00581446">
        <w:rPr>
          <w:lang w:val="en-GB"/>
        </w:rPr>
        <w:t>H</w:t>
      </w:r>
      <w:r w:rsidRPr="00581446">
        <w:rPr>
          <w:vertAlign w:val="subscript"/>
          <w:lang w:val="en-GB"/>
        </w:rPr>
        <w:t>4</w:t>
      </w:r>
      <w:r w:rsidR="00185BC0">
        <w:rPr>
          <w:lang w:val="en-GB"/>
        </w:rPr>
        <w:t xml:space="preserve"> (ethylene),</w:t>
      </w:r>
      <w:r w:rsidRPr="00581446">
        <w:rPr>
          <w:lang w:val="en-GB"/>
        </w:rPr>
        <w:t xml:space="preserve"> C</w:t>
      </w:r>
      <w:r w:rsidRPr="00581446">
        <w:rPr>
          <w:vertAlign w:val="subscript"/>
          <w:lang w:val="en-GB"/>
        </w:rPr>
        <w:t>6</w:t>
      </w:r>
      <w:r w:rsidRPr="00581446">
        <w:rPr>
          <w:lang w:val="en-GB"/>
        </w:rPr>
        <w:t>H</w:t>
      </w:r>
      <w:r w:rsidRPr="00581446">
        <w:rPr>
          <w:vertAlign w:val="subscript"/>
          <w:lang w:val="en-GB"/>
        </w:rPr>
        <w:t>6</w:t>
      </w:r>
      <w:r w:rsidR="00185BC0">
        <w:rPr>
          <w:lang w:val="en-GB"/>
        </w:rPr>
        <w:t xml:space="preserve"> (benzene),</w:t>
      </w:r>
      <w:r w:rsidRPr="00581446">
        <w:rPr>
          <w:lang w:val="en-GB"/>
        </w:rPr>
        <w:t xml:space="preserve"> H</w:t>
      </w:r>
      <w:r w:rsidRPr="00581446">
        <w:rPr>
          <w:vertAlign w:val="subscript"/>
          <w:lang w:val="en-GB"/>
        </w:rPr>
        <w:t>2</w:t>
      </w:r>
      <w:r w:rsidRPr="00581446">
        <w:rPr>
          <w:lang w:val="en-GB"/>
        </w:rPr>
        <w:t>O, H</w:t>
      </w:r>
      <w:r w:rsidRPr="00D54737">
        <w:rPr>
          <w:vertAlign w:val="subscript"/>
          <w:lang w:val="en-GB"/>
        </w:rPr>
        <w:t>2</w:t>
      </w:r>
    </w:p>
    <w:p w:rsidR="00581446" w:rsidRPr="00581446" w:rsidRDefault="00581446" w:rsidP="00581446">
      <w:pPr>
        <w:pStyle w:val="normal0"/>
        <w:spacing w:before="120" w:after="120"/>
        <w:rPr>
          <w:lang w:val="en-GB"/>
        </w:rPr>
      </w:pPr>
      <w:r w:rsidRPr="00581446">
        <w:rPr>
          <w:lang w:val="en-GB"/>
        </w:rPr>
        <w:t xml:space="preserve">Note that in this </w:t>
      </w:r>
      <w:r w:rsidR="00443018">
        <w:rPr>
          <w:lang w:val="en-GB"/>
        </w:rPr>
        <w:t>step</w:t>
      </w:r>
      <w:r w:rsidRPr="00581446">
        <w:rPr>
          <w:lang w:val="en-GB"/>
        </w:rPr>
        <w:t xml:space="preserve"> water can be either </w:t>
      </w:r>
      <w:r w:rsidR="004126B9">
        <w:rPr>
          <w:lang w:val="en-GB"/>
        </w:rPr>
        <w:t xml:space="preserve">a </w:t>
      </w:r>
      <w:r w:rsidRPr="00581446">
        <w:rPr>
          <w:lang w:val="en-GB"/>
        </w:rPr>
        <w:t xml:space="preserve">raw material or </w:t>
      </w:r>
      <w:r w:rsidR="004126B9">
        <w:rPr>
          <w:lang w:val="en-GB"/>
        </w:rPr>
        <w:t xml:space="preserve">a </w:t>
      </w:r>
      <w:r w:rsidRPr="00581446">
        <w:rPr>
          <w:lang w:val="en-GB"/>
        </w:rPr>
        <w:t>product, it is not yet known.</w:t>
      </w:r>
    </w:p>
    <w:p w:rsidR="00581446" w:rsidRPr="00581446" w:rsidRDefault="00581446" w:rsidP="00581446">
      <w:pPr>
        <w:pStyle w:val="normal0"/>
        <w:spacing w:before="120" w:after="120"/>
        <w:rPr>
          <w:lang w:val="en-GB"/>
        </w:rPr>
      </w:pPr>
      <w:r w:rsidRPr="00581446">
        <w:rPr>
          <w:lang w:val="en-GB"/>
        </w:rPr>
        <w:t>- calculation basis: 100 mol CH</w:t>
      </w:r>
      <w:r w:rsidRPr="001238DC">
        <w:rPr>
          <w:vertAlign w:val="subscript"/>
          <w:lang w:val="en-GB"/>
        </w:rPr>
        <w:t>4</w:t>
      </w:r>
    </w:p>
    <w:p w:rsidR="00581446" w:rsidRPr="00581446" w:rsidRDefault="00581446" w:rsidP="00581446">
      <w:pPr>
        <w:pStyle w:val="normal0"/>
        <w:spacing w:before="120" w:after="120"/>
        <w:rPr>
          <w:lang w:val="en-GB"/>
        </w:rPr>
      </w:pPr>
      <w:r w:rsidRPr="00581446">
        <w:rPr>
          <w:lang w:val="en-GB"/>
        </w:rPr>
        <w:t xml:space="preserve">- reference conditions for the beginning and end </w:t>
      </w:r>
      <w:r w:rsidR="002E4F1A">
        <w:rPr>
          <w:lang w:val="en-GB"/>
        </w:rPr>
        <w:t xml:space="preserve">of the </w:t>
      </w:r>
      <w:r w:rsidR="00130CBC">
        <w:rPr>
          <w:lang w:val="en-GB"/>
        </w:rPr>
        <w:t xml:space="preserve">overall </w:t>
      </w:r>
      <w:r w:rsidR="002E4F1A">
        <w:rPr>
          <w:lang w:val="en-GB"/>
        </w:rPr>
        <w:t>process: 25 ºC and 1 atm</w:t>
      </w:r>
      <w:r w:rsidR="00F71437">
        <w:rPr>
          <w:lang w:val="en-GB"/>
        </w:rPr>
        <w:t>.</w:t>
      </w:r>
    </w:p>
    <w:p w:rsidR="00851D42" w:rsidRDefault="00581446" w:rsidP="00581446">
      <w:pPr>
        <w:pStyle w:val="normal0"/>
        <w:spacing w:before="120" w:after="120"/>
        <w:rPr>
          <w:lang w:val="en-GB"/>
        </w:rPr>
      </w:pPr>
      <w:r w:rsidRPr="00581446">
        <w:rPr>
          <w:lang w:val="en-GB"/>
        </w:rPr>
        <w:t>The enthalpy of formation data were obtained from the thermodynamics literature (</w:t>
      </w:r>
      <w:r w:rsidR="00EF570F">
        <w:rPr>
          <w:lang w:val="en-GB"/>
        </w:rPr>
        <w:t>Reid et al, 1987</w:t>
      </w:r>
      <w:r w:rsidRPr="00581446">
        <w:rPr>
          <w:lang w:val="en-GB"/>
        </w:rPr>
        <w:t>). The calculations were performed with an Excel spreadsheet, using Solver</w:t>
      </w:r>
      <w:r w:rsidR="00F00160">
        <w:rPr>
          <w:lang w:val="en-GB"/>
        </w:rPr>
        <w:t xml:space="preserve"> to find the solution of </w:t>
      </w:r>
      <w:r w:rsidR="00DF07E6">
        <w:rPr>
          <w:lang w:val="en-GB"/>
        </w:rPr>
        <w:t xml:space="preserve">the </w:t>
      </w:r>
      <w:r w:rsidR="00F00160">
        <w:rPr>
          <w:lang w:val="en-GB"/>
        </w:rPr>
        <w:t>LP model</w:t>
      </w:r>
      <w:r w:rsidRPr="00581446">
        <w:rPr>
          <w:lang w:val="en-GB"/>
        </w:rPr>
        <w:t>.</w:t>
      </w:r>
    </w:p>
    <w:p w:rsidR="00851D42" w:rsidRDefault="000670DD" w:rsidP="00013DFA">
      <w:pPr>
        <w:pStyle w:val="normal0"/>
        <w:rPr>
          <w:lang w:val="en-GB"/>
        </w:rPr>
      </w:pPr>
      <w:r>
        <w:rPr>
          <w:lang w:val="en-GB"/>
        </w:rPr>
        <w:t xml:space="preserve">Using this small list of substances, </w:t>
      </w:r>
      <w:r w:rsidR="00D04B3C">
        <w:rPr>
          <w:lang w:val="en-GB"/>
        </w:rPr>
        <w:t>the substance that leads to more hydrogen is benzene</w:t>
      </w:r>
      <w:r w:rsidR="00535FE1">
        <w:rPr>
          <w:lang w:val="en-GB"/>
        </w:rPr>
        <w:t xml:space="preserve"> (burning part of the hydrogen</w:t>
      </w:r>
      <w:r w:rsidR="002D5CDD">
        <w:rPr>
          <w:lang w:val="en-GB"/>
        </w:rPr>
        <w:t xml:space="preserve"> for </w:t>
      </w:r>
      <m:oMath>
        <m:sSup>
          <m:sSupPr>
            <m:ctrlPr>
              <w:rPr>
                <w:rFonts w:ascii="Cambria Math" w:hAnsi="Cambria Math"/>
                <w:i/>
                <w:lang w:val="en-GB"/>
              </w:rPr>
            </m:ctrlPr>
          </m:sSupPr>
          <m:e>
            <m:r>
              <w:rPr>
                <w:rFonts w:ascii="Cambria Math" w:hAnsi="Cambria Math"/>
                <w:lang w:val="en-GB"/>
              </w:rPr>
              <m:t>∆H</m:t>
            </m:r>
          </m:e>
          <m:sup>
            <m:r>
              <m:rPr>
                <m:nor/>
              </m:rPr>
              <w:rPr>
                <w:rFonts w:ascii="Cambria Math" w:hAnsi="Cambria Math"/>
                <w:lang w:val="en-GB"/>
              </w:rPr>
              <m:t>global</m:t>
            </m:r>
          </m:sup>
        </m:sSup>
        <m:r>
          <w:rPr>
            <w:rFonts w:ascii="Cambria Math" w:hAnsi="Cambria Math"/>
            <w:lang w:val="en-GB"/>
          </w:rPr>
          <m:t>&gt;0</m:t>
        </m:r>
      </m:oMath>
      <w:r w:rsidR="00535FE1">
        <w:rPr>
          <w:lang w:val="en-GB"/>
        </w:rPr>
        <w:t>)</w:t>
      </w:r>
      <w:r w:rsidR="00D04B3C">
        <w:rPr>
          <w:lang w:val="en-GB"/>
        </w:rPr>
        <w:t xml:space="preserve">, but </w:t>
      </w:r>
      <w:r w:rsidR="00FF1BD5">
        <w:rPr>
          <w:lang w:val="en-GB"/>
        </w:rPr>
        <w:t xml:space="preserve">the difference </w:t>
      </w:r>
      <w:r w:rsidR="00003680">
        <w:rPr>
          <w:lang w:val="en-GB"/>
        </w:rPr>
        <w:t>with urea is small</w:t>
      </w:r>
      <w:r w:rsidR="00FF1BD5">
        <w:rPr>
          <w:lang w:val="en-GB"/>
        </w:rPr>
        <w:t>. Also, urea is useful as a fertilizer. Th</w:t>
      </w:r>
      <w:r w:rsidR="007478B3">
        <w:rPr>
          <w:lang w:val="en-GB"/>
        </w:rPr>
        <w:t>e</w:t>
      </w:r>
      <w:r w:rsidR="00FF1BD5">
        <w:rPr>
          <w:lang w:val="en-GB"/>
        </w:rPr>
        <w:t>refore</w:t>
      </w:r>
      <w:r w:rsidR="007478B3">
        <w:rPr>
          <w:lang w:val="en-GB"/>
        </w:rPr>
        <w:t>, this case study was set to the production of urea.</w:t>
      </w:r>
      <w:r w:rsidR="00DB0593">
        <w:rPr>
          <w:lang w:val="en-GB"/>
        </w:rPr>
        <w:t xml:space="preserve"> The raw materials were CH</w:t>
      </w:r>
      <w:r w:rsidR="00DB0593" w:rsidRPr="00DB0593">
        <w:rPr>
          <w:vertAlign w:val="subscript"/>
          <w:lang w:val="en-GB"/>
        </w:rPr>
        <w:t>4</w:t>
      </w:r>
      <w:r w:rsidR="00DB0593">
        <w:rPr>
          <w:lang w:val="en-GB"/>
        </w:rPr>
        <w:t>, N</w:t>
      </w:r>
      <w:r w:rsidR="00DB0593" w:rsidRPr="00DB0593">
        <w:rPr>
          <w:vertAlign w:val="subscript"/>
          <w:lang w:val="en-GB"/>
        </w:rPr>
        <w:t>2</w:t>
      </w:r>
      <w:r w:rsidR="00DB0593">
        <w:rPr>
          <w:lang w:val="en-GB"/>
        </w:rPr>
        <w:t xml:space="preserve"> and H</w:t>
      </w:r>
      <w:r w:rsidR="00DB0593" w:rsidRPr="00DB0593">
        <w:rPr>
          <w:vertAlign w:val="subscript"/>
          <w:lang w:val="en-GB"/>
        </w:rPr>
        <w:t>2</w:t>
      </w:r>
      <w:r w:rsidR="00DB0593">
        <w:rPr>
          <w:lang w:val="en-GB"/>
        </w:rPr>
        <w:t xml:space="preserve">O, while the products </w:t>
      </w:r>
      <w:r w:rsidR="00DB0593">
        <w:rPr>
          <w:lang w:val="en-GB"/>
        </w:rPr>
        <w:lastRenderedPageBreak/>
        <w:t xml:space="preserve">were </w:t>
      </w:r>
      <w:r w:rsidR="00DB0593" w:rsidRPr="00581446">
        <w:rPr>
          <w:lang w:val="en-GB"/>
        </w:rPr>
        <w:t>(NH</w:t>
      </w:r>
      <w:r w:rsidR="00DB0593" w:rsidRPr="00581446">
        <w:rPr>
          <w:vertAlign w:val="subscript"/>
          <w:lang w:val="en-GB"/>
        </w:rPr>
        <w:t>2</w:t>
      </w:r>
      <w:r w:rsidR="00DB0593" w:rsidRPr="00581446">
        <w:rPr>
          <w:lang w:val="en-GB"/>
        </w:rPr>
        <w:t>)</w:t>
      </w:r>
      <w:r w:rsidR="00DB0593" w:rsidRPr="00581446">
        <w:rPr>
          <w:vertAlign w:val="subscript"/>
          <w:lang w:val="en-GB"/>
        </w:rPr>
        <w:t>2</w:t>
      </w:r>
      <w:r w:rsidR="00DB0593" w:rsidRPr="00581446">
        <w:rPr>
          <w:lang w:val="en-GB"/>
        </w:rPr>
        <w:t>CO</w:t>
      </w:r>
      <w:r w:rsidR="00DB0593">
        <w:rPr>
          <w:lang w:val="en-GB"/>
        </w:rPr>
        <w:t xml:space="preserve"> and H</w:t>
      </w:r>
      <w:r w:rsidR="00DB0593" w:rsidRPr="00DB0593">
        <w:rPr>
          <w:vertAlign w:val="subscript"/>
          <w:lang w:val="en-GB"/>
        </w:rPr>
        <w:t>2</w:t>
      </w:r>
      <w:r w:rsidR="00DB0593">
        <w:rPr>
          <w:lang w:val="en-GB"/>
        </w:rPr>
        <w:t>. However, this step does not provide the reaction ro</w:t>
      </w:r>
      <w:r w:rsidR="000E12CB">
        <w:rPr>
          <w:lang w:val="en-GB"/>
        </w:rPr>
        <w:t>u</w:t>
      </w:r>
      <w:r w:rsidR="00DB0593">
        <w:rPr>
          <w:lang w:val="en-GB"/>
        </w:rPr>
        <w:t>tes from the reactants to the final products.</w:t>
      </w:r>
      <w:r w:rsidR="000E12CB">
        <w:rPr>
          <w:lang w:val="en-GB"/>
        </w:rPr>
        <w:t xml:space="preserve"> Therefore, the next st</w:t>
      </w:r>
      <w:r w:rsidR="000B643F">
        <w:rPr>
          <w:lang w:val="en-GB"/>
        </w:rPr>
        <w:t>ep is finding an adequate route, which in this case is well know</w:t>
      </w:r>
      <w:r w:rsidR="00697296">
        <w:rPr>
          <w:lang w:val="en-GB"/>
        </w:rPr>
        <w:t>n</w:t>
      </w:r>
      <w:r w:rsidR="002D788A">
        <w:rPr>
          <w:lang w:val="en-GB"/>
        </w:rPr>
        <w:t xml:space="preserve"> (Figure 1)</w:t>
      </w:r>
      <w:r w:rsidR="000B643F">
        <w:rPr>
          <w:lang w:val="en-GB"/>
        </w:rPr>
        <w:t>:</w:t>
      </w:r>
    </w:p>
    <w:tbl>
      <w:tblPr>
        <w:tblW w:w="8787" w:type="dxa"/>
        <w:tblLayout w:type="fixed"/>
        <w:tblCellMar>
          <w:left w:w="115" w:type="dxa"/>
          <w:right w:w="115" w:type="dxa"/>
        </w:tblCellMar>
        <w:tblLook w:val="0000"/>
      </w:tblPr>
      <w:tblGrid>
        <w:gridCol w:w="7983"/>
        <w:gridCol w:w="804"/>
      </w:tblGrid>
      <w:tr w:rsidR="00890DA1" w:rsidRPr="005B177A" w:rsidTr="00607810">
        <w:tc>
          <w:tcPr>
            <w:tcW w:w="7983" w:type="dxa"/>
            <w:vAlign w:val="center"/>
          </w:tcPr>
          <w:p w:rsidR="00890DA1" w:rsidRPr="005B177A" w:rsidRDefault="00890DA1" w:rsidP="00013DFA">
            <w:pPr>
              <w:pStyle w:val="normal0"/>
              <w:jc w:val="left"/>
              <w:rPr>
                <w:color w:val="000000"/>
                <w:lang w:val="en-GB"/>
              </w:rPr>
            </w:pPr>
            <w:r>
              <w:rPr>
                <w:lang w:val="en-GB"/>
              </w:rPr>
              <w:t>Step1: CH</w:t>
            </w:r>
            <w:r w:rsidRPr="000B643F">
              <w:rPr>
                <w:vertAlign w:val="subscript"/>
                <w:lang w:val="en-GB"/>
              </w:rPr>
              <w:t>4</w:t>
            </w:r>
            <w:r>
              <w:rPr>
                <w:lang w:val="en-GB"/>
              </w:rPr>
              <w:t xml:space="preserve"> + 2 H</w:t>
            </w:r>
            <w:r w:rsidRPr="000B643F">
              <w:rPr>
                <w:vertAlign w:val="subscript"/>
                <w:lang w:val="en-GB"/>
              </w:rPr>
              <w:t>2</w:t>
            </w:r>
            <w:r>
              <w:rPr>
                <w:lang w:val="en-GB"/>
              </w:rPr>
              <w:t xml:space="preserve">O </w:t>
            </w:r>
            <w:r>
              <w:rPr>
                <w:lang w:val="en-GB"/>
              </w:rPr>
              <w:sym w:font="Wingdings 3" w:char="F067"/>
            </w:r>
            <w:r>
              <w:rPr>
                <w:lang w:val="en-GB"/>
              </w:rPr>
              <w:t xml:space="preserve"> CO</w:t>
            </w:r>
            <w:r w:rsidRPr="000B643F">
              <w:rPr>
                <w:vertAlign w:val="subscript"/>
                <w:lang w:val="en-GB"/>
              </w:rPr>
              <w:t>2</w:t>
            </w:r>
            <w:r>
              <w:rPr>
                <w:lang w:val="en-GB"/>
              </w:rPr>
              <w:t xml:space="preserve"> + 4 H</w:t>
            </w:r>
            <w:r w:rsidRPr="000B643F">
              <w:rPr>
                <w:vertAlign w:val="subscript"/>
                <w:lang w:val="en-GB"/>
              </w:rPr>
              <w:t>2</w:t>
            </w:r>
          </w:p>
        </w:tc>
        <w:tc>
          <w:tcPr>
            <w:tcW w:w="804" w:type="dxa"/>
            <w:vAlign w:val="center"/>
          </w:tcPr>
          <w:p w:rsidR="00890DA1" w:rsidRPr="005B177A" w:rsidRDefault="00890DA1" w:rsidP="00013DFA">
            <w:pPr>
              <w:pStyle w:val="normal0"/>
              <w:spacing w:before="120" w:after="120"/>
              <w:jc w:val="right"/>
              <w:rPr>
                <w:color w:val="000000"/>
                <w:lang w:val="en-GB"/>
              </w:rPr>
            </w:pPr>
            <w:r w:rsidRPr="005B177A">
              <w:rPr>
                <w:color w:val="000000"/>
                <w:lang w:val="en-GB"/>
              </w:rPr>
              <w:t>(6)</w:t>
            </w:r>
          </w:p>
        </w:tc>
      </w:tr>
      <w:tr w:rsidR="007201CE" w:rsidRPr="005B177A" w:rsidTr="007201CE">
        <w:tc>
          <w:tcPr>
            <w:tcW w:w="7983" w:type="dxa"/>
            <w:vAlign w:val="center"/>
          </w:tcPr>
          <w:p w:rsidR="007201CE" w:rsidRPr="007201CE" w:rsidRDefault="007201CE" w:rsidP="00013DFA">
            <w:pPr>
              <w:pStyle w:val="normal0"/>
              <w:jc w:val="left"/>
              <w:rPr>
                <w:lang w:val="en-GB"/>
              </w:rPr>
            </w:pPr>
            <w:r>
              <w:rPr>
                <w:lang w:val="en-GB"/>
              </w:rPr>
              <w:t>Step2: N</w:t>
            </w:r>
            <w:r w:rsidRPr="006F3D8F">
              <w:rPr>
                <w:vertAlign w:val="subscript"/>
                <w:lang w:val="en-GB"/>
              </w:rPr>
              <w:t>2</w:t>
            </w:r>
            <w:r>
              <w:rPr>
                <w:lang w:val="en-GB"/>
              </w:rPr>
              <w:t xml:space="preserve"> + 3 H</w:t>
            </w:r>
            <w:r w:rsidRPr="006F3D8F">
              <w:rPr>
                <w:vertAlign w:val="subscript"/>
                <w:lang w:val="en-GB"/>
              </w:rPr>
              <w:t>2</w:t>
            </w:r>
            <w:r>
              <w:rPr>
                <w:lang w:val="en-GB"/>
              </w:rPr>
              <w:t xml:space="preserve"> </w:t>
            </w:r>
            <w:r>
              <w:rPr>
                <w:lang w:val="en-GB"/>
              </w:rPr>
              <w:sym w:font="Wingdings 3" w:char="F067"/>
            </w:r>
            <w:r>
              <w:rPr>
                <w:lang w:val="en-GB"/>
              </w:rPr>
              <w:t>2 NH</w:t>
            </w:r>
            <w:r w:rsidRPr="006F3D8F">
              <w:rPr>
                <w:vertAlign w:val="subscript"/>
                <w:lang w:val="en-GB"/>
              </w:rPr>
              <w:t>3</w:t>
            </w:r>
          </w:p>
        </w:tc>
        <w:tc>
          <w:tcPr>
            <w:tcW w:w="804" w:type="dxa"/>
            <w:vAlign w:val="center"/>
          </w:tcPr>
          <w:p w:rsidR="007201CE" w:rsidRPr="005B177A" w:rsidRDefault="009B51E8" w:rsidP="00013DFA">
            <w:pPr>
              <w:pStyle w:val="normal0"/>
              <w:spacing w:before="120" w:after="120"/>
              <w:jc w:val="right"/>
              <w:rPr>
                <w:color w:val="000000"/>
                <w:lang w:val="en-GB"/>
              </w:rPr>
            </w:pPr>
            <w:r>
              <w:rPr>
                <w:color w:val="000000"/>
                <w:lang w:val="en-GB"/>
              </w:rPr>
              <w:t>(7</w:t>
            </w:r>
            <w:r w:rsidR="007201CE" w:rsidRPr="005B177A">
              <w:rPr>
                <w:color w:val="000000"/>
                <w:lang w:val="en-GB"/>
              </w:rPr>
              <w:t>)</w:t>
            </w:r>
          </w:p>
        </w:tc>
      </w:tr>
      <w:tr w:rsidR="006453AB" w:rsidRPr="005B177A" w:rsidTr="006453AB">
        <w:tc>
          <w:tcPr>
            <w:tcW w:w="7983" w:type="dxa"/>
            <w:vAlign w:val="center"/>
          </w:tcPr>
          <w:p w:rsidR="006453AB" w:rsidRPr="007201CE" w:rsidRDefault="006453AB" w:rsidP="00013DFA">
            <w:pPr>
              <w:pStyle w:val="normal0"/>
              <w:jc w:val="left"/>
              <w:rPr>
                <w:lang w:val="en-GB"/>
              </w:rPr>
            </w:pPr>
            <w:r>
              <w:rPr>
                <w:lang w:val="en-GB"/>
              </w:rPr>
              <w:t>Step3: CO</w:t>
            </w:r>
            <w:r w:rsidRPr="006F3D8F">
              <w:rPr>
                <w:vertAlign w:val="subscript"/>
                <w:lang w:val="en-GB"/>
              </w:rPr>
              <w:t>2</w:t>
            </w:r>
            <w:r>
              <w:rPr>
                <w:lang w:val="en-GB"/>
              </w:rPr>
              <w:t xml:space="preserve"> + 2 NH</w:t>
            </w:r>
            <w:r w:rsidRPr="006F3D8F">
              <w:rPr>
                <w:vertAlign w:val="subscript"/>
                <w:lang w:val="en-GB"/>
              </w:rPr>
              <w:t xml:space="preserve">3 </w:t>
            </w:r>
            <w:r>
              <w:rPr>
                <w:lang w:val="en-GB"/>
              </w:rPr>
              <w:sym w:font="Wingdings 3" w:char="F067"/>
            </w:r>
            <w:r>
              <w:rPr>
                <w:lang w:val="en-GB"/>
              </w:rPr>
              <w:t xml:space="preserve"> CO(NH</w:t>
            </w:r>
            <w:r w:rsidRPr="006F3D8F">
              <w:rPr>
                <w:vertAlign w:val="subscript"/>
                <w:lang w:val="en-GB"/>
              </w:rPr>
              <w:t>2</w:t>
            </w:r>
            <w:r>
              <w:rPr>
                <w:lang w:val="en-GB"/>
              </w:rPr>
              <w:t>)</w:t>
            </w:r>
            <w:r w:rsidRPr="006F3D8F">
              <w:rPr>
                <w:vertAlign w:val="subscript"/>
                <w:lang w:val="en-GB"/>
              </w:rPr>
              <w:t>2</w:t>
            </w:r>
            <w:r>
              <w:rPr>
                <w:lang w:val="en-GB"/>
              </w:rPr>
              <w:t xml:space="preserve"> + H</w:t>
            </w:r>
            <w:r w:rsidRPr="006F3D8F">
              <w:rPr>
                <w:vertAlign w:val="subscript"/>
                <w:lang w:val="en-GB"/>
              </w:rPr>
              <w:t>2</w:t>
            </w:r>
            <w:r>
              <w:rPr>
                <w:lang w:val="en-GB"/>
              </w:rPr>
              <w:t>O</w:t>
            </w:r>
          </w:p>
        </w:tc>
        <w:tc>
          <w:tcPr>
            <w:tcW w:w="804" w:type="dxa"/>
            <w:vAlign w:val="center"/>
          </w:tcPr>
          <w:p w:rsidR="006453AB" w:rsidRPr="005B177A" w:rsidRDefault="009B51E8" w:rsidP="00013DFA">
            <w:pPr>
              <w:pStyle w:val="normal0"/>
              <w:spacing w:before="120" w:after="120"/>
              <w:jc w:val="right"/>
              <w:rPr>
                <w:color w:val="000000"/>
                <w:lang w:val="en-GB"/>
              </w:rPr>
            </w:pPr>
            <w:r>
              <w:rPr>
                <w:color w:val="000000"/>
                <w:lang w:val="en-GB"/>
              </w:rPr>
              <w:t>(8</w:t>
            </w:r>
            <w:r w:rsidR="006453AB" w:rsidRPr="005B177A">
              <w:rPr>
                <w:color w:val="000000"/>
                <w:lang w:val="en-GB"/>
              </w:rPr>
              <w:t>)</w:t>
            </w:r>
          </w:p>
        </w:tc>
      </w:tr>
      <w:tr w:rsidR="00013DFA" w:rsidRPr="005B177A" w:rsidTr="006D051A">
        <w:tc>
          <w:tcPr>
            <w:tcW w:w="7983" w:type="dxa"/>
            <w:vAlign w:val="center"/>
          </w:tcPr>
          <w:p w:rsidR="006D051A" w:rsidRPr="007201CE" w:rsidRDefault="006D051A" w:rsidP="00013DFA">
            <w:pPr>
              <w:pStyle w:val="normal0"/>
              <w:jc w:val="left"/>
              <w:rPr>
                <w:lang w:val="en-GB"/>
              </w:rPr>
            </w:pPr>
            <w:r>
              <w:rPr>
                <w:lang w:val="en-GB"/>
              </w:rPr>
              <w:t>global: CH</w:t>
            </w:r>
            <w:r w:rsidRPr="000B643F">
              <w:rPr>
                <w:vertAlign w:val="subscript"/>
                <w:lang w:val="en-GB"/>
              </w:rPr>
              <w:t>4</w:t>
            </w:r>
            <w:r>
              <w:rPr>
                <w:lang w:val="en-GB"/>
              </w:rPr>
              <w:t xml:space="preserve"> + H</w:t>
            </w:r>
            <w:r w:rsidRPr="000B643F">
              <w:rPr>
                <w:vertAlign w:val="subscript"/>
                <w:lang w:val="en-GB"/>
              </w:rPr>
              <w:t>2</w:t>
            </w:r>
            <w:r>
              <w:rPr>
                <w:lang w:val="en-GB"/>
              </w:rPr>
              <w:t>O</w:t>
            </w:r>
            <w:r w:rsidR="002F215D">
              <w:rPr>
                <w:lang w:val="en-GB"/>
              </w:rPr>
              <w:t xml:space="preserve"> + N</w:t>
            </w:r>
            <w:r w:rsidR="002F215D" w:rsidRPr="002F215D">
              <w:rPr>
                <w:vertAlign w:val="subscript"/>
                <w:lang w:val="en-GB"/>
              </w:rPr>
              <w:t>2</w:t>
            </w:r>
            <w:r>
              <w:rPr>
                <w:lang w:val="en-GB"/>
              </w:rPr>
              <w:t xml:space="preserve"> </w:t>
            </w:r>
            <w:r>
              <w:rPr>
                <w:lang w:val="en-GB"/>
              </w:rPr>
              <w:sym w:font="Wingdings 3" w:char="F067"/>
            </w:r>
            <w:r>
              <w:rPr>
                <w:lang w:val="en-GB"/>
              </w:rPr>
              <w:t xml:space="preserve"> CO(NH</w:t>
            </w:r>
            <w:r w:rsidRPr="006F3D8F">
              <w:rPr>
                <w:vertAlign w:val="subscript"/>
                <w:lang w:val="en-GB"/>
              </w:rPr>
              <w:t>2</w:t>
            </w:r>
            <w:r>
              <w:rPr>
                <w:lang w:val="en-GB"/>
              </w:rPr>
              <w:t>)</w:t>
            </w:r>
            <w:r w:rsidRPr="006F3D8F">
              <w:rPr>
                <w:vertAlign w:val="subscript"/>
                <w:lang w:val="en-GB"/>
              </w:rPr>
              <w:t>2</w:t>
            </w:r>
            <w:r>
              <w:rPr>
                <w:lang w:val="en-GB"/>
              </w:rPr>
              <w:t xml:space="preserve"> + H</w:t>
            </w:r>
            <w:r w:rsidRPr="006F3D8F">
              <w:rPr>
                <w:vertAlign w:val="subscript"/>
                <w:lang w:val="en-GB"/>
              </w:rPr>
              <w:t>2</w:t>
            </w:r>
          </w:p>
        </w:tc>
        <w:tc>
          <w:tcPr>
            <w:tcW w:w="804" w:type="dxa"/>
            <w:vAlign w:val="center"/>
          </w:tcPr>
          <w:p w:rsidR="006D051A" w:rsidRPr="005B177A" w:rsidRDefault="009B51E8" w:rsidP="00013DFA">
            <w:pPr>
              <w:pStyle w:val="normal0"/>
              <w:spacing w:before="120" w:after="120"/>
              <w:jc w:val="right"/>
              <w:rPr>
                <w:color w:val="000000"/>
                <w:lang w:val="en-GB"/>
              </w:rPr>
            </w:pPr>
            <w:r>
              <w:rPr>
                <w:color w:val="000000"/>
                <w:lang w:val="en-GB"/>
              </w:rPr>
              <w:t>(9</w:t>
            </w:r>
            <w:r w:rsidR="006D051A" w:rsidRPr="005B177A">
              <w:rPr>
                <w:color w:val="000000"/>
                <w:lang w:val="en-GB"/>
              </w:rPr>
              <w:t>)</w:t>
            </w:r>
          </w:p>
        </w:tc>
      </w:tr>
    </w:tbl>
    <w:p w:rsidR="00A5020A" w:rsidRPr="005B177A" w:rsidRDefault="00A5020A" w:rsidP="004A13DD">
      <w:pPr>
        <w:pStyle w:val="normal0"/>
        <w:spacing w:before="200"/>
        <w:rPr>
          <w:lang w:val="en-GB"/>
        </w:rPr>
      </w:pPr>
      <w:r w:rsidRPr="005B177A">
        <w:rPr>
          <w:lang w:val="en-GB"/>
        </w:rPr>
        <w:t>Figure 1 : Process Flow Diagram</w:t>
      </w:r>
    </w:p>
    <w:p w:rsidR="00A5020A" w:rsidRPr="005B177A" w:rsidRDefault="005F4FE7">
      <w:pPr>
        <w:pStyle w:val="normal0"/>
        <w:rPr>
          <w:rFonts w:ascii="Times New Roman" w:hAnsi="Times New Roman" w:cs="Times New Roman"/>
          <w:color w:val="000000"/>
          <w:sz w:val="24"/>
          <w:szCs w:val="24"/>
          <w:lang w:val="en-GB"/>
        </w:rPr>
      </w:pPr>
      <w:r>
        <w:rPr>
          <w:noProof/>
          <w:color w:val="000000"/>
          <w:sz w:val="24"/>
          <w:szCs w:val="24"/>
          <w:lang w:val="pt-BR"/>
        </w:rPr>
        <w:drawing>
          <wp:inline distT="0" distB="0" distL="0" distR="0">
            <wp:extent cx="5137150" cy="1911985"/>
            <wp:effectExtent l="19050" t="0" r="635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srcRect/>
                    <a:stretch>
                      <a:fillRect/>
                    </a:stretch>
                  </pic:blipFill>
                  <pic:spPr bwMode="auto">
                    <a:xfrm>
                      <a:off x="0" y="0"/>
                      <a:ext cx="5137150" cy="1911985"/>
                    </a:xfrm>
                    <a:prstGeom prst="rect">
                      <a:avLst/>
                    </a:prstGeom>
                    <a:noFill/>
                    <a:ln w="9525">
                      <a:noFill/>
                      <a:miter lim="800000"/>
                      <a:headEnd/>
                      <a:tailEnd/>
                    </a:ln>
                  </pic:spPr>
                </pic:pic>
              </a:graphicData>
            </a:graphic>
          </wp:inline>
        </w:drawing>
      </w:r>
    </w:p>
    <w:p w:rsidR="00A5020A" w:rsidRPr="005B177A" w:rsidRDefault="00A5020A" w:rsidP="00187F25">
      <w:pPr>
        <w:pStyle w:val="normal0"/>
        <w:spacing w:before="120" w:after="240"/>
        <w:jc w:val="center"/>
        <w:rPr>
          <w:lang w:val="en-GB"/>
        </w:rPr>
      </w:pPr>
      <w:r w:rsidRPr="005B177A">
        <w:rPr>
          <w:lang w:val="en-GB"/>
        </w:rPr>
        <w:t>Font: Developed by the author</w:t>
      </w:r>
    </w:p>
    <w:p w:rsidR="009B397A" w:rsidRPr="005B177A" w:rsidRDefault="00C36018" w:rsidP="000260AC">
      <w:pPr>
        <w:pStyle w:val="normal0"/>
        <w:rPr>
          <w:lang w:val="en-GB"/>
        </w:rPr>
      </w:pPr>
      <w:r>
        <w:rPr>
          <w:lang w:val="en-GB"/>
        </w:rPr>
        <w:t>Then, after choosing a route, t</w:t>
      </w:r>
      <w:r w:rsidR="009B397A" w:rsidRPr="009B397A">
        <w:rPr>
          <w:lang w:val="en-GB"/>
        </w:rPr>
        <w:t xml:space="preserve">his study evaluates </w:t>
      </w:r>
      <w:r>
        <w:rPr>
          <w:lang w:val="en-GB"/>
        </w:rPr>
        <w:t xml:space="preserve">the </w:t>
      </w:r>
      <w:r w:rsidR="009B397A" w:rsidRPr="009B397A">
        <w:rPr>
          <w:lang w:val="en-GB"/>
        </w:rPr>
        <w:t>reaction routes' thermodynamic and energetic feasibility using Aspen Plus simulations and thermodynamic analyses to optimize operating conditions and maximize efficiency. Simulations model</w:t>
      </w:r>
      <w:r w:rsidR="001F5D91">
        <w:rPr>
          <w:lang w:val="en-GB"/>
        </w:rPr>
        <w:t>l</w:t>
      </w:r>
      <w:r w:rsidR="009B397A" w:rsidRPr="009B397A">
        <w:rPr>
          <w:lang w:val="en-GB"/>
        </w:rPr>
        <w:t xml:space="preserve">ed reaction conditions and </w:t>
      </w:r>
      <w:r w:rsidR="001F5D91">
        <w:rPr>
          <w:lang w:val="en-GB"/>
        </w:rPr>
        <w:t>calculated mass-energy balances</w:t>
      </w:r>
      <w:r w:rsidR="009B397A" w:rsidRPr="009B397A">
        <w:rPr>
          <w:lang w:val="en-GB"/>
        </w:rPr>
        <w:t xml:space="preserve">. Thermodynamic analyses determined key </w:t>
      </w:r>
      <w:r w:rsidR="001F5D91">
        <w:rPr>
          <w:lang w:val="en-GB"/>
        </w:rPr>
        <w:t>quantities</w:t>
      </w:r>
      <w:r w:rsidR="009B397A" w:rsidRPr="009B397A">
        <w:rPr>
          <w:lang w:val="en-GB"/>
        </w:rPr>
        <w:t xml:space="preserve"> (ΔH, ΔS, ΔG) to assess reaction spontaneity and favo</w:t>
      </w:r>
      <w:r w:rsidR="001F5D91">
        <w:rPr>
          <w:lang w:val="en-GB"/>
        </w:rPr>
        <w:t>u</w:t>
      </w:r>
      <w:r w:rsidR="009B397A" w:rsidRPr="009B397A">
        <w:rPr>
          <w:lang w:val="en-GB"/>
        </w:rPr>
        <w:t>rable conditions. Integrating these results provides a</w:t>
      </w:r>
      <w:r w:rsidR="001F5D91">
        <w:rPr>
          <w:lang w:val="en-GB"/>
        </w:rPr>
        <w:t>n</w:t>
      </w:r>
      <w:r w:rsidR="009B397A" w:rsidRPr="009B397A">
        <w:rPr>
          <w:lang w:val="en-GB"/>
        </w:rPr>
        <w:t xml:space="preserve"> </w:t>
      </w:r>
      <w:r w:rsidR="001F5D91">
        <w:rPr>
          <w:lang w:val="en-GB"/>
        </w:rPr>
        <w:t>approach</w:t>
      </w:r>
      <w:r w:rsidR="009B397A" w:rsidRPr="009B397A">
        <w:rPr>
          <w:lang w:val="en-GB"/>
        </w:rPr>
        <w:t xml:space="preserve"> for developing efficient, sustainable processes.</w:t>
      </w:r>
    </w:p>
    <w:p w:rsidR="00A5020A" w:rsidRPr="005B177A" w:rsidRDefault="00A5020A" w:rsidP="0041665E">
      <w:pPr>
        <w:pStyle w:val="normal0"/>
        <w:spacing w:before="240" w:after="120"/>
        <w:rPr>
          <w:b/>
          <w:sz w:val="20"/>
          <w:szCs w:val="20"/>
          <w:lang w:val="en-GB"/>
        </w:rPr>
      </w:pPr>
      <w:r w:rsidRPr="005B177A">
        <w:rPr>
          <w:b/>
          <w:sz w:val="20"/>
          <w:szCs w:val="20"/>
          <w:lang w:val="en-GB"/>
        </w:rPr>
        <w:t xml:space="preserve">4. </w:t>
      </w:r>
      <w:r w:rsidR="00C50F14">
        <w:rPr>
          <w:b/>
          <w:sz w:val="20"/>
          <w:szCs w:val="20"/>
          <w:lang w:val="en-GB"/>
        </w:rPr>
        <w:t>Case Studies</w:t>
      </w:r>
      <w:r w:rsidR="000904F1">
        <w:rPr>
          <w:b/>
          <w:sz w:val="20"/>
          <w:szCs w:val="20"/>
          <w:lang w:val="en-GB"/>
        </w:rPr>
        <w:t xml:space="preserve"> - Routes of Reactions</w:t>
      </w:r>
    </w:p>
    <w:p w:rsidR="00A5020A" w:rsidRPr="005B177A" w:rsidRDefault="00A5020A">
      <w:pPr>
        <w:pStyle w:val="normal0"/>
        <w:spacing w:before="120" w:after="120"/>
        <w:rPr>
          <w:b/>
          <w:lang w:val="en-GB"/>
        </w:rPr>
      </w:pPr>
      <w:r w:rsidRPr="005B177A">
        <w:rPr>
          <w:b/>
          <w:lang w:val="en-GB"/>
        </w:rPr>
        <w:t>4.1. Methane and Oxygen Reaction</w:t>
      </w:r>
    </w:p>
    <w:p w:rsidR="00A5020A" w:rsidRPr="005B177A" w:rsidRDefault="00A5020A">
      <w:pPr>
        <w:pStyle w:val="normal0"/>
        <w:spacing w:before="120" w:after="120"/>
        <w:rPr>
          <w:lang w:val="en-GB"/>
        </w:rPr>
      </w:pPr>
      <w:r w:rsidRPr="005B177A">
        <w:rPr>
          <w:lang w:val="en-GB"/>
        </w:rPr>
        <w:t>This case study analyzes the chemical reaction between methane (</w:t>
      </w:r>
      <w:r w:rsidR="00F81D49">
        <w:rPr>
          <w:lang w:val="en-GB"/>
        </w:rPr>
        <w:t>CH</w:t>
      </w:r>
      <w:r w:rsidR="00F81D49" w:rsidRPr="00F81D49">
        <w:rPr>
          <w:vertAlign w:val="subscript"/>
          <w:lang w:val="en-GB"/>
        </w:rPr>
        <w:t>4</w:t>
      </w:r>
      <w:r w:rsidRPr="005B177A">
        <w:rPr>
          <w:lang w:val="en-GB"/>
        </w:rPr>
        <w:t>) and oxygen (</w:t>
      </w:r>
      <w:r w:rsidR="00F81D49">
        <w:rPr>
          <w:lang w:val="en-GB"/>
        </w:rPr>
        <w:t>O</w:t>
      </w:r>
      <w:r w:rsidR="00F81D49" w:rsidRPr="00F81D49">
        <w:rPr>
          <w:vertAlign w:val="subscript"/>
          <w:lang w:val="en-GB"/>
        </w:rPr>
        <w:t>2</w:t>
      </w:r>
      <w:r w:rsidRPr="005B177A">
        <w:rPr>
          <w:lang w:val="en-GB"/>
        </w:rPr>
        <w:t xml:space="preserve">), with the aim of evaluating the products formed, the energy involved and the associated flows. The analysis was carried out using Aspen Plus </w:t>
      </w:r>
      <w:r w:rsidRPr="005B177A">
        <w:rPr>
          <w:i/>
          <w:lang w:val="en-GB"/>
        </w:rPr>
        <w:t>software</w:t>
      </w:r>
      <w:r w:rsidRPr="005B177A">
        <w:rPr>
          <w:lang w:val="en-GB"/>
        </w:rPr>
        <w:t>. The reaction between methane and oxygen can take place via different chemical routes, depending on the conditions of temperature, pressure and the ratio between the reactants. These conditions were chosen to evaluate the behavio</w:t>
      </w:r>
      <w:r w:rsidR="00512ECC">
        <w:rPr>
          <w:lang w:val="en-GB"/>
        </w:rPr>
        <w:t>u</w:t>
      </w:r>
      <w:r w:rsidRPr="005B177A">
        <w:rPr>
          <w:lang w:val="en-GB"/>
        </w:rPr>
        <w:t>r of the different chemical routes, providing a basis for future adjustments. The main reactions include:</w:t>
      </w:r>
    </w:p>
    <w:p w:rsidR="00A5020A" w:rsidRPr="005B177A" w:rsidRDefault="00190759">
      <w:pPr>
        <w:pStyle w:val="normal0"/>
        <w:tabs>
          <w:tab w:val="center" w:pos="4252"/>
        </w:tabs>
        <w:spacing w:before="120"/>
        <w:rPr>
          <w:lang w:val="en-GB"/>
        </w:rPr>
      </w:pPr>
      <w:r>
        <w:rPr>
          <w:lang w:val="en-GB"/>
        </w:rPr>
        <w:t xml:space="preserve">1. </w:t>
      </w:r>
      <w:r w:rsidR="00D55892">
        <w:rPr>
          <w:lang w:val="en-GB"/>
        </w:rPr>
        <w:t>Complete Combustion</w:t>
      </w:r>
      <w:r w:rsidR="0093487B">
        <w:rPr>
          <w:lang w:val="en-GB"/>
        </w:rPr>
        <w:t xml:space="preserve"> (</w:t>
      </w:r>
      <w:r w:rsidR="0093487B" w:rsidRPr="005B177A">
        <w:rPr>
          <w:lang w:val="en-GB"/>
        </w:rPr>
        <w:t>highly exothermic</w:t>
      </w:r>
      <w:r w:rsidR="0093487B">
        <w:rPr>
          <w:lang w:val="en-GB"/>
        </w:rPr>
        <w:t>)</w:t>
      </w:r>
      <w:r w:rsidR="00D55892">
        <w:rPr>
          <w:lang w:val="en-GB"/>
        </w:rPr>
        <w:t>:</w:t>
      </w:r>
    </w:p>
    <w:tbl>
      <w:tblPr>
        <w:tblW w:w="8787" w:type="dxa"/>
        <w:tblLayout w:type="fixed"/>
        <w:tblCellMar>
          <w:left w:w="115" w:type="dxa"/>
          <w:right w:w="115" w:type="dxa"/>
        </w:tblCellMar>
        <w:tblLook w:val="0000"/>
      </w:tblPr>
      <w:tblGrid>
        <w:gridCol w:w="7983"/>
        <w:gridCol w:w="804"/>
      </w:tblGrid>
      <w:tr w:rsidR="00A5020A" w:rsidRPr="005B177A" w:rsidTr="00013195">
        <w:tc>
          <w:tcPr>
            <w:tcW w:w="7983" w:type="dxa"/>
            <w:vAlign w:val="center"/>
          </w:tcPr>
          <w:p w:rsidR="00A5020A" w:rsidRPr="005B177A" w:rsidRDefault="00A5020A" w:rsidP="00013195">
            <w:pPr>
              <w:pStyle w:val="normal0"/>
              <w:spacing w:before="120" w:after="120"/>
              <w:jc w:val="left"/>
              <w:rPr>
                <w:color w:val="000000"/>
                <w:lang w:val="en-GB"/>
              </w:rPr>
            </w:pPr>
            <w:r w:rsidRPr="005B177A">
              <w:rPr>
                <w:color w:val="000000"/>
                <w:lang w:val="en-GB"/>
              </w:rPr>
              <w:t>CH</w:t>
            </w:r>
            <w:r w:rsidRPr="005B177A">
              <w:rPr>
                <w:color w:val="000000"/>
                <w:vertAlign w:val="subscript"/>
                <w:lang w:val="en-GB"/>
              </w:rPr>
              <w:t>4</w:t>
            </w:r>
            <w:r w:rsidR="00453FE3">
              <w:rPr>
                <w:color w:val="000000"/>
                <w:vertAlign w:val="subscript"/>
                <w:lang w:val="en-GB"/>
              </w:rPr>
              <w:t xml:space="preserve"> </w:t>
            </w:r>
            <w:r w:rsidRPr="005B177A">
              <w:rPr>
                <w:color w:val="000000"/>
                <w:lang w:val="en-GB"/>
              </w:rPr>
              <w:t>+</w:t>
            </w:r>
            <w:r w:rsidR="00453FE3">
              <w:rPr>
                <w:color w:val="000000"/>
                <w:lang w:val="en-GB"/>
              </w:rPr>
              <w:t xml:space="preserve"> </w:t>
            </w:r>
            <w:r w:rsidRPr="005B177A">
              <w:rPr>
                <w:color w:val="000000"/>
                <w:lang w:val="en-GB"/>
              </w:rPr>
              <w:t>2</w:t>
            </w:r>
            <w:r w:rsidR="00D55892">
              <w:rPr>
                <w:color w:val="000000"/>
                <w:lang w:val="en-GB"/>
              </w:rPr>
              <w:t xml:space="preserve"> </w:t>
            </w:r>
            <w:r w:rsidRPr="005B177A">
              <w:rPr>
                <w:color w:val="000000"/>
                <w:lang w:val="en-GB"/>
              </w:rPr>
              <w:t>O</w:t>
            </w:r>
            <w:r w:rsidRPr="005B177A">
              <w:rPr>
                <w:color w:val="000000"/>
                <w:vertAlign w:val="subscript"/>
                <w:lang w:val="en-GB"/>
              </w:rPr>
              <w:t>2</w:t>
            </w:r>
            <w:r w:rsidR="00E72CF2">
              <w:rPr>
                <w:color w:val="000000"/>
                <w:lang w:val="en-GB"/>
              </w:rPr>
              <w:t xml:space="preserve"> → </w:t>
            </w:r>
            <w:r w:rsidRPr="005B177A">
              <w:rPr>
                <w:color w:val="000000"/>
                <w:lang w:val="en-GB"/>
              </w:rPr>
              <w:t>CO</w:t>
            </w:r>
            <w:r w:rsidRPr="005B177A">
              <w:rPr>
                <w:color w:val="000000"/>
                <w:vertAlign w:val="subscript"/>
                <w:lang w:val="en-GB"/>
              </w:rPr>
              <w:t>2</w:t>
            </w:r>
            <w:r w:rsidR="00453FE3">
              <w:rPr>
                <w:color w:val="000000"/>
                <w:lang w:val="en-GB"/>
              </w:rPr>
              <w:t xml:space="preserve"> </w:t>
            </w:r>
            <w:r w:rsidRPr="005B177A">
              <w:rPr>
                <w:color w:val="000000"/>
                <w:lang w:val="en-GB"/>
              </w:rPr>
              <w:t>+</w:t>
            </w:r>
            <w:r w:rsidR="00453FE3">
              <w:rPr>
                <w:color w:val="000000"/>
                <w:lang w:val="en-GB"/>
              </w:rPr>
              <w:t xml:space="preserve"> </w:t>
            </w:r>
            <w:r w:rsidRPr="005B177A">
              <w:rPr>
                <w:color w:val="000000"/>
                <w:lang w:val="en-GB"/>
              </w:rPr>
              <w:t>2</w:t>
            </w:r>
            <w:r w:rsidR="00D55892">
              <w:rPr>
                <w:color w:val="000000"/>
                <w:lang w:val="en-GB"/>
              </w:rPr>
              <w:t xml:space="preserve"> </w:t>
            </w:r>
            <w:r w:rsidRPr="005B177A">
              <w:rPr>
                <w:color w:val="000000"/>
                <w:lang w:val="en-GB"/>
              </w:rPr>
              <w:t>H</w:t>
            </w:r>
            <w:r w:rsidRPr="005B177A">
              <w:rPr>
                <w:color w:val="000000"/>
                <w:vertAlign w:val="subscript"/>
                <w:lang w:val="en-GB"/>
              </w:rPr>
              <w:t>2</w:t>
            </w:r>
            <w:r w:rsidRPr="005B177A">
              <w:rPr>
                <w:color w:val="000000"/>
                <w:lang w:val="en-GB"/>
              </w:rPr>
              <w:t>O</w:t>
            </w:r>
          </w:p>
        </w:tc>
        <w:tc>
          <w:tcPr>
            <w:tcW w:w="804" w:type="dxa"/>
            <w:vAlign w:val="center"/>
          </w:tcPr>
          <w:p w:rsidR="00A5020A" w:rsidRPr="005B177A" w:rsidRDefault="00567EC6" w:rsidP="00013195">
            <w:pPr>
              <w:pStyle w:val="normal0"/>
              <w:spacing w:before="120" w:after="120"/>
              <w:jc w:val="right"/>
              <w:rPr>
                <w:color w:val="000000"/>
                <w:lang w:val="en-GB"/>
              </w:rPr>
            </w:pPr>
            <w:r>
              <w:rPr>
                <w:color w:val="000000"/>
                <w:lang w:val="en-GB"/>
              </w:rPr>
              <w:t>(10</w:t>
            </w:r>
            <w:r w:rsidR="00A5020A" w:rsidRPr="005B177A">
              <w:rPr>
                <w:color w:val="000000"/>
                <w:lang w:val="en-GB"/>
              </w:rPr>
              <w:t>)</w:t>
            </w:r>
          </w:p>
        </w:tc>
      </w:tr>
    </w:tbl>
    <w:p w:rsidR="00A5020A" w:rsidRPr="005B177A" w:rsidRDefault="00190759">
      <w:pPr>
        <w:pStyle w:val="normal0"/>
        <w:spacing w:before="120"/>
        <w:rPr>
          <w:lang w:val="en-GB"/>
        </w:rPr>
      </w:pPr>
      <w:r>
        <w:rPr>
          <w:lang w:val="en-GB"/>
        </w:rPr>
        <w:t xml:space="preserve">2. </w:t>
      </w:r>
      <w:r w:rsidR="00365B5F">
        <w:rPr>
          <w:lang w:val="en-GB"/>
        </w:rPr>
        <w:t>Incomplete C</w:t>
      </w:r>
      <w:r w:rsidR="00453FE3">
        <w:rPr>
          <w:lang w:val="en-GB"/>
        </w:rPr>
        <w:t>ombustion</w:t>
      </w:r>
      <w:r w:rsidR="0093487B">
        <w:rPr>
          <w:lang w:val="en-GB"/>
        </w:rPr>
        <w:t xml:space="preserve"> (exothermic)</w:t>
      </w:r>
      <w:r w:rsidR="00453FE3">
        <w:rPr>
          <w:lang w:val="en-GB"/>
        </w:rPr>
        <w:t>:</w:t>
      </w:r>
    </w:p>
    <w:tbl>
      <w:tblPr>
        <w:tblW w:w="8787" w:type="dxa"/>
        <w:tblLayout w:type="fixed"/>
        <w:tblCellMar>
          <w:left w:w="115" w:type="dxa"/>
          <w:right w:w="115" w:type="dxa"/>
        </w:tblCellMar>
        <w:tblLook w:val="0000"/>
      </w:tblPr>
      <w:tblGrid>
        <w:gridCol w:w="7983"/>
        <w:gridCol w:w="804"/>
      </w:tblGrid>
      <w:tr w:rsidR="00A5020A" w:rsidRPr="005B177A" w:rsidTr="00013195">
        <w:tc>
          <w:tcPr>
            <w:tcW w:w="7983" w:type="dxa"/>
            <w:vAlign w:val="center"/>
          </w:tcPr>
          <w:p w:rsidR="00A5020A" w:rsidRPr="005B177A" w:rsidRDefault="00A5020A" w:rsidP="00013195">
            <w:pPr>
              <w:pStyle w:val="normal0"/>
              <w:spacing w:before="120" w:after="120"/>
              <w:jc w:val="left"/>
              <w:rPr>
                <w:color w:val="000000"/>
                <w:lang w:val="en-GB"/>
              </w:rPr>
            </w:pPr>
            <w:r w:rsidRPr="005B177A">
              <w:rPr>
                <w:color w:val="000000"/>
                <w:lang w:val="en-GB"/>
              </w:rPr>
              <w:t>CH</w:t>
            </w:r>
            <w:r w:rsidRPr="005B177A">
              <w:rPr>
                <w:color w:val="000000"/>
                <w:vertAlign w:val="subscript"/>
                <w:lang w:val="en-GB"/>
              </w:rPr>
              <w:t>4</w:t>
            </w:r>
            <w:r w:rsidR="00E72CF2">
              <w:rPr>
                <w:color w:val="000000"/>
                <w:lang w:val="en-GB"/>
              </w:rPr>
              <w:t xml:space="preserve"> </w:t>
            </w:r>
            <w:r w:rsidRPr="005B177A">
              <w:rPr>
                <w:color w:val="000000"/>
                <w:lang w:val="en-GB"/>
              </w:rPr>
              <w:t>+</w:t>
            </w:r>
            <w:r w:rsidR="00E72CF2">
              <w:rPr>
                <w:color w:val="000000"/>
                <w:lang w:val="en-GB"/>
              </w:rPr>
              <w:t xml:space="preserve"> </w:t>
            </w:r>
            <w:r w:rsidR="00384A5C">
              <w:rPr>
                <w:color w:val="000000"/>
                <w:lang w:val="en-GB"/>
              </w:rPr>
              <w:t>3</w:t>
            </w:r>
            <w:r w:rsidR="001B36B2">
              <w:rPr>
                <w:color w:val="000000"/>
                <w:lang w:val="en-GB"/>
              </w:rPr>
              <w:t>/2</w:t>
            </w:r>
            <w:r w:rsidR="00384A5C">
              <w:rPr>
                <w:color w:val="000000"/>
                <w:lang w:val="en-GB"/>
              </w:rPr>
              <w:t xml:space="preserve"> </w:t>
            </w:r>
            <w:r w:rsidRPr="005B177A">
              <w:rPr>
                <w:color w:val="000000"/>
                <w:lang w:val="en-GB"/>
              </w:rPr>
              <w:t>O</w:t>
            </w:r>
            <w:r w:rsidRPr="005B177A">
              <w:rPr>
                <w:color w:val="000000"/>
                <w:vertAlign w:val="subscript"/>
                <w:lang w:val="en-GB"/>
              </w:rPr>
              <w:t>2</w:t>
            </w:r>
            <w:r w:rsidR="00E72CF2">
              <w:rPr>
                <w:color w:val="000000"/>
                <w:lang w:val="en-GB"/>
              </w:rPr>
              <w:t xml:space="preserve"> → </w:t>
            </w:r>
            <w:r w:rsidRPr="005B177A">
              <w:rPr>
                <w:color w:val="000000"/>
                <w:lang w:val="en-GB"/>
              </w:rPr>
              <w:t>CO</w:t>
            </w:r>
            <w:r w:rsidR="00E72CF2">
              <w:rPr>
                <w:color w:val="000000"/>
                <w:lang w:val="en-GB"/>
              </w:rPr>
              <w:t xml:space="preserve"> </w:t>
            </w:r>
            <w:r w:rsidRPr="005B177A">
              <w:rPr>
                <w:color w:val="000000"/>
                <w:lang w:val="en-GB"/>
              </w:rPr>
              <w:t>+</w:t>
            </w:r>
            <w:r w:rsidR="00E72CF2">
              <w:rPr>
                <w:color w:val="000000"/>
                <w:lang w:val="en-GB"/>
              </w:rPr>
              <w:t xml:space="preserve"> </w:t>
            </w:r>
            <w:r w:rsidR="001B36B2">
              <w:rPr>
                <w:color w:val="000000"/>
                <w:lang w:val="en-GB"/>
              </w:rPr>
              <w:t>2</w:t>
            </w:r>
            <w:r w:rsidR="00E72CF2">
              <w:rPr>
                <w:color w:val="000000"/>
                <w:lang w:val="en-GB"/>
              </w:rPr>
              <w:t xml:space="preserve"> </w:t>
            </w:r>
            <w:r w:rsidRPr="005B177A">
              <w:rPr>
                <w:color w:val="000000"/>
                <w:lang w:val="en-GB"/>
              </w:rPr>
              <w:t>H</w:t>
            </w:r>
            <w:r w:rsidRPr="005B177A">
              <w:rPr>
                <w:color w:val="000000"/>
                <w:vertAlign w:val="subscript"/>
                <w:lang w:val="en-GB"/>
              </w:rPr>
              <w:t>2</w:t>
            </w:r>
            <w:r w:rsidRPr="005B177A">
              <w:rPr>
                <w:color w:val="000000"/>
                <w:lang w:val="en-GB"/>
              </w:rPr>
              <w:t>O</w:t>
            </w:r>
          </w:p>
        </w:tc>
        <w:tc>
          <w:tcPr>
            <w:tcW w:w="804" w:type="dxa"/>
            <w:vAlign w:val="center"/>
          </w:tcPr>
          <w:p w:rsidR="00A5020A" w:rsidRPr="005B177A" w:rsidRDefault="00567EC6" w:rsidP="00013195">
            <w:pPr>
              <w:pStyle w:val="normal0"/>
              <w:spacing w:before="120" w:after="120"/>
              <w:jc w:val="right"/>
              <w:rPr>
                <w:color w:val="000000"/>
                <w:lang w:val="en-GB"/>
              </w:rPr>
            </w:pPr>
            <w:r>
              <w:rPr>
                <w:color w:val="000000"/>
                <w:lang w:val="en-GB"/>
              </w:rPr>
              <w:t>(11</w:t>
            </w:r>
            <w:r w:rsidR="00A5020A" w:rsidRPr="005B177A">
              <w:rPr>
                <w:color w:val="000000"/>
                <w:lang w:val="en-GB"/>
              </w:rPr>
              <w:t>)</w:t>
            </w:r>
          </w:p>
        </w:tc>
      </w:tr>
    </w:tbl>
    <w:p w:rsidR="00A5020A" w:rsidRPr="005B177A" w:rsidRDefault="00190759">
      <w:pPr>
        <w:pStyle w:val="normal0"/>
        <w:spacing w:before="120" w:line="240" w:lineRule="auto"/>
        <w:rPr>
          <w:lang w:val="en-GB"/>
        </w:rPr>
      </w:pPr>
      <w:r>
        <w:rPr>
          <w:lang w:val="en-GB"/>
        </w:rPr>
        <w:t xml:space="preserve">3. </w:t>
      </w:r>
      <w:r w:rsidR="00E72CF2">
        <w:rPr>
          <w:lang w:val="en-GB"/>
        </w:rPr>
        <w:t>Partial Oxidation Reaction</w:t>
      </w:r>
      <w:r w:rsidR="00365B5F">
        <w:rPr>
          <w:lang w:val="en-GB"/>
        </w:rPr>
        <w:t xml:space="preserve"> (</w:t>
      </w:r>
      <w:r w:rsidR="00BE5BE5">
        <w:rPr>
          <w:lang w:val="en-GB"/>
        </w:rPr>
        <w:t>slightly exothermic</w:t>
      </w:r>
      <w:r w:rsidR="00365B5F">
        <w:rPr>
          <w:lang w:val="en-GB"/>
        </w:rPr>
        <w:t>)</w:t>
      </w:r>
      <w:r w:rsidR="00E72CF2">
        <w:rPr>
          <w:lang w:val="en-GB"/>
        </w:rPr>
        <w:t>:</w:t>
      </w:r>
    </w:p>
    <w:tbl>
      <w:tblPr>
        <w:tblW w:w="8787" w:type="dxa"/>
        <w:tblLayout w:type="fixed"/>
        <w:tblCellMar>
          <w:left w:w="115" w:type="dxa"/>
          <w:right w:w="115" w:type="dxa"/>
        </w:tblCellMar>
        <w:tblLook w:val="0000"/>
      </w:tblPr>
      <w:tblGrid>
        <w:gridCol w:w="7982"/>
        <w:gridCol w:w="805"/>
      </w:tblGrid>
      <w:tr w:rsidR="00A5020A" w:rsidRPr="005B177A" w:rsidTr="00013195">
        <w:tc>
          <w:tcPr>
            <w:tcW w:w="7983" w:type="dxa"/>
            <w:vAlign w:val="center"/>
          </w:tcPr>
          <w:p w:rsidR="00A5020A" w:rsidRPr="005B177A" w:rsidRDefault="00A5020A" w:rsidP="00013195">
            <w:pPr>
              <w:pStyle w:val="normal0"/>
              <w:spacing w:before="120" w:after="120"/>
              <w:jc w:val="left"/>
              <w:rPr>
                <w:color w:val="000000"/>
                <w:lang w:val="en-GB"/>
              </w:rPr>
            </w:pPr>
            <w:r w:rsidRPr="005B177A">
              <w:rPr>
                <w:color w:val="000000"/>
                <w:lang w:val="en-GB"/>
              </w:rPr>
              <w:t>CH</w:t>
            </w:r>
            <w:r w:rsidRPr="005B177A">
              <w:rPr>
                <w:color w:val="000000"/>
                <w:vertAlign w:val="subscript"/>
                <w:lang w:val="en-GB"/>
              </w:rPr>
              <w:t>4</w:t>
            </w:r>
            <w:r w:rsidR="00E72CF2">
              <w:rPr>
                <w:color w:val="000000"/>
                <w:lang w:val="en-GB"/>
              </w:rPr>
              <w:t xml:space="preserve"> </w:t>
            </w:r>
            <w:r w:rsidRPr="005B177A">
              <w:rPr>
                <w:color w:val="000000"/>
                <w:lang w:val="en-GB"/>
              </w:rPr>
              <w:t>+</w:t>
            </w:r>
            <w:r w:rsidR="00E72CF2">
              <w:rPr>
                <w:color w:val="000000"/>
                <w:lang w:val="en-GB"/>
              </w:rPr>
              <w:t xml:space="preserve"> </w:t>
            </w:r>
            <w:r w:rsidR="006C29F2">
              <w:rPr>
                <w:color w:val="000000"/>
                <w:lang w:val="en-GB"/>
              </w:rPr>
              <w:t>1/</w:t>
            </w:r>
            <w:r w:rsidRPr="005B177A">
              <w:rPr>
                <w:color w:val="000000"/>
                <w:lang w:val="en-GB"/>
              </w:rPr>
              <w:t>2</w:t>
            </w:r>
            <w:r w:rsidR="00E72CF2">
              <w:rPr>
                <w:color w:val="000000"/>
                <w:lang w:val="en-GB"/>
              </w:rPr>
              <w:t xml:space="preserve"> </w:t>
            </w:r>
            <w:r w:rsidRPr="005B177A">
              <w:rPr>
                <w:color w:val="000000"/>
                <w:lang w:val="en-GB"/>
              </w:rPr>
              <w:t>O</w:t>
            </w:r>
            <w:r w:rsidRPr="005B177A">
              <w:rPr>
                <w:color w:val="000000"/>
                <w:vertAlign w:val="subscript"/>
                <w:lang w:val="en-GB"/>
              </w:rPr>
              <w:t>2</w:t>
            </w:r>
            <w:r w:rsidR="00E72CF2">
              <w:rPr>
                <w:color w:val="000000"/>
                <w:lang w:val="en-GB"/>
              </w:rPr>
              <w:t xml:space="preserve"> → </w:t>
            </w:r>
            <w:r w:rsidRPr="005B177A">
              <w:rPr>
                <w:color w:val="000000"/>
                <w:lang w:val="en-GB"/>
              </w:rPr>
              <w:t>CO</w:t>
            </w:r>
            <w:r w:rsidR="00E72CF2">
              <w:rPr>
                <w:color w:val="000000"/>
                <w:lang w:val="en-GB"/>
              </w:rPr>
              <w:t xml:space="preserve"> </w:t>
            </w:r>
            <w:r w:rsidRPr="005B177A">
              <w:rPr>
                <w:color w:val="000000"/>
                <w:lang w:val="en-GB"/>
              </w:rPr>
              <w:t>+</w:t>
            </w:r>
            <w:r w:rsidR="00E72CF2">
              <w:rPr>
                <w:color w:val="000000"/>
                <w:lang w:val="en-GB"/>
              </w:rPr>
              <w:t xml:space="preserve"> </w:t>
            </w:r>
            <w:r w:rsidRPr="005B177A">
              <w:rPr>
                <w:color w:val="000000"/>
                <w:lang w:val="en-GB"/>
              </w:rPr>
              <w:t>2</w:t>
            </w:r>
            <w:r w:rsidR="00E72CF2">
              <w:rPr>
                <w:color w:val="000000"/>
                <w:lang w:val="en-GB"/>
              </w:rPr>
              <w:t xml:space="preserve"> </w:t>
            </w:r>
            <w:r w:rsidRPr="005B177A">
              <w:rPr>
                <w:color w:val="000000"/>
                <w:lang w:val="en-GB"/>
              </w:rPr>
              <w:t>H</w:t>
            </w:r>
            <w:r w:rsidRPr="005B177A">
              <w:rPr>
                <w:color w:val="000000"/>
                <w:vertAlign w:val="subscript"/>
                <w:lang w:val="en-GB"/>
              </w:rPr>
              <w:t>2</w:t>
            </w:r>
          </w:p>
        </w:tc>
        <w:tc>
          <w:tcPr>
            <w:tcW w:w="804" w:type="dxa"/>
            <w:vAlign w:val="center"/>
          </w:tcPr>
          <w:p w:rsidR="00A5020A" w:rsidRPr="005B177A" w:rsidRDefault="00567EC6" w:rsidP="003C4525">
            <w:pPr>
              <w:pStyle w:val="normal0"/>
              <w:spacing w:before="120" w:after="120"/>
              <w:jc w:val="right"/>
              <w:rPr>
                <w:color w:val="000000"/>
                <w:lang w:val="en-GB"/>
              </w:rPr>
            </w:pPr>
            <w:r>
              <w:rPr>
                <w:color w:val="000000"/>
                <w:lang w:val="en-GB"/>
              </w:rPr>
              <w:t>(12</w:t>
            </w:r>
            <w:r w:rsidR="00A5020A" w:rsidRPr="005B177A">
              <w:rPr>
                <w:color w:val="000000"/>
                <w:lang w:val="en-GB"/>
              </w:rPr>
              <w:t>)</w:t>
            </w:r>
          </w:p>
        </w:tc>
      </w:tr>
      <w:tr w:rsidR="00190759" w:rsidRPr="005B177A" w:rsidTr="00013195">
        <w:tc>
          <w:tcPr>
            <w:tcW w:w="7983" w:type="dxa"/>
            <w:vAlign w:val="center"/>
          </w:tcPr>
          <w:p w:rsidR="00190759" w:rsidRPr="005B177A" w:rsidRDefault="00190759" w:rsidP="00013195">
            <w:pPr>
              <w:pStyle w:val="normal0"/>
              <w:spacing w:before="120"/>
              <w:jc w:val="left"/>
              <w:rPr>
                <w:color w:val="000000"/>
                <w:lang w:val="en-GB"/>
              </w:rPr>
            </w:pPr>
            <w:r>
              <w:rPr>
                <w:color w:val="000000"/>
                <w:lang w:val="en-GB"/>
              </w:rPr>
              <w:t>4. Solid Carbon Formation (if oxygen is extremely limited, endothermic):</w:t>
            </w:r>
          </w:p>
        </w:tc>
        <w:tc>
          <w:tcPr>
            <w:tcW w:w="804" w:type="dxa"/>
            <w:vAlign w:val="center"/>
          </w:tcPr>
          <w:p w:rsidR="00190759" w:rsidRPr="005B177A" w:rsidRDefault="00190759" w:rsidP="003C4525">
            <w:pPr>
              <w:pStyle w:val="normal0"/>
              <w:spacing w:before="120" w:after="120"/>
              <w:jc w:val="right"/>
              <w:rPr>
                <w:color w:val="000000"/>
                <w:lang w:val="en-GB"/>
              </w:rPr>
            </w:pPr>
          </w:p>
        </w:tc>
      </w:tr>
      <w:tr w:rsidR="00A5020A" w:rsidRPr="005B177A" w:rsidTr="00013195">
        <w:tc>
          <w:tcPr>
            <w:tcW w:w="7982" w:type="dxa"/>
            <w:vAlign w:val="center"/>
          </w:tcPr>
          <w:p w:rsidR="00A5020A" w:rsidRPr="005B177A" w:rsidRDefault="00A5020A" w:rsidP="00013195">
            <w:pPr>
              <w:pStyle w:val="normal0"/>
              <w:spacing w:before="120" w:after="120"/>
              <w:jc w:val="left"/>
              <w:rPr>
                <w:color w:val="000000"/>
                <w:lang w:val="en-GB"/>
              </w:rPr>
            </w:pPr>
            <w:r w:rsidRPr="005B177A">
              <w:rPr>
                <w:color w:val="000000"/>
                <w:lang w:val="en-GB"/>
              </w:rPr>
              <w:t>CH</w:t>
            </w:r>
            <w:r w:rsidRPr="005B177A">
              <w:rPr>
                <w:color w:val="000000"/>
                <w:vertAlign w:val="subscript"/>
                <w:lang w:val="en-GB"/>
              </w:rPr>
              <w:t>4</w:t>
            </w:r>
            <w:r w:rsidR="00365B5F">
              <w:rPr>
                <w:color w:val="000000"/>
                <w:lang w:val="en-GB"/>
              </w:rPr>
              <w:t xml:space="preserve"> → </w:t>
            </w:r>
            <w:r w:rsidRPr="005B177A">
              <w:rPr>
                <w:color w:val="000000"/>
                <w:lang w:val="en-GB"/>
              </w:rPr>
              <w:t>C</w:t>
            </w:r>
            <w:r w:rsidR="00365B5F">
              <w:rPr>
                <w:color w:val="000000"/>
                <w:lang w:val="en-GB"/>
              </w:rPr>
              <w:t xml:space="preserve"> </w:t>
            </w:r>
            <w:r w:rsidRPr="005B177A">
              <w:rPr>
                <w:color w:val="000000"/>
                <w:lang w:val="en-GB"/>
              </w:rPr>
              <w:t>+</w:t>
            </w:r>
            <w:r w:rsidR="00365B5F">
              <w:rPr>
                <w:color w:val="000000"/>
                <w:lang w:val="en-GB"/>
              </w:rPr>
              <w:t xml:space="preserve"> </w:t>
            </w:r>
            <w:r w:rsidRPr="005B177A">
              <w:rPr>
                <w:color w:val="000000"/>
                <w:lang w:val="en-GB"/>
              </w:rPr>
              <w:t>2</w:t>
            </w:r>
            <w:r w:rsidR="00365B5F">
              <w:rPr>
                <w:color w:val="000000"/>
                <w:lang w:val="en-GB"/>
              </w:rPr>
              <w:t xml:space="preserve"> </w:t>
            </w:r>
            <w:r w:rsidRPr="005B177A">
              <w:rPr>
                <w:color w:val="000000"/>
                <w:lang w:val="en-GB"/>
              </w:rPr>
              <w:t>H</w:t>
            </w:r>
            <w:r w:rsidRPr="005B177A">
              <w:rPr>
                <w:color w:val="000000"/>
                <w:vertAlign w:val="subscript"/>
                <w:lang w:val="en-GB"/>
              </w:rPr>
              <w:t>2</w:t>
            </w:r>
          </w:p>
        </w:tc>
        <w:tc>
          <w:tcPr>
            <w:tcW w:w="805" w:type="dxa"/>
            <w:vAlign w:val="center"/>
          </w:tcPr>
          <w:p w:rsidR="00A5020A" w:rsidRPr="005B177A" w:rsidRDefault="00567EC6" w:rsidP="00013195">
            <w:pPr>
              <w:pStyle w:val="normal0"/>
              <w:spacing w:before="120" w:after="120"/>
              <w:jc w:val="right"/>
              <w:rPr>
                <w:color w:val="000000"/>
                <w:lang w:val="en-GB"/>
              </w:rPr>
            </w:pPr>
            <w:r>
              <w:rPr>
                <w:color w:val="000000"/>
                <w:lang w:val="en-GB"/>
              </w:rPr>
              <w:t>(13</w:t>
            </w:r>
            <w:r w:rsidR="00A5020A" w:rsidRPr="005B177A">
              <w:rPr>
                <w:color w:val="000000"/>
                <w:lang w:val="en-GB"/>
              </w:rPr>
              <w:t>)</w:t>
            </w:r>
          </w:p>
        </w:tc>
      </w:tr>
    </w:tbl>
    <w:p w:rsidR="00A5020A" w:rsidRPr="005B177A" w:rsidRDefault="00A5020A">
      <w:pPr>
        <w:pStyle w:val="normal0"/>
        <w:spacing w:before="120" w:after="120"/>
        <w:rPr>
          <w:lang w:val="en-GB"/>
        </w:rPr>
      </w:pPr>
      <w:r w:rsidRPr="005B177A">
        <w:rPr>
          <w:lang w:val="en-GB"/>
        </w:rPr>
        <w:lastRenderedPageBreak/>
        <w:t xml:space="preserve">The products depend on the prevailing thermodynamic conditions and chemical routes, </w:t>
      </w:r>
      <w:r w:rsidR="00047201">
        <w:rPr>
          <w:lang w:val="en-GB"/>
        </w:rPr>
        <w:t>which are</w:t>
      </w:r>
      <w:r w:rsidR="007675CA">
        <w:rPr>
          <w:lang w:val="en-GB"/>
        </w:rPr>
        <w:t>: carbon d</w:t>
      </w:r>
      <w:r w:rsidRPr="005B177A">
        <w:rPr>
          <w:lang w:val="en-GB"/>
        </w:rPr>
        <w:t>ioxide (CO</w:t>
      </w:r>
      <w:r w:rsidRPr="005B177A">
        <w:rPr>
          <w:vertAlign w:val="subscript"/>
          <w:lang w:val="en-GB"/>
        </w:rPr>
        <w:t>2</w:t>
      </w:r>
      <w:r w:rsidR="007675CA">
        <w:rPr>
          <w:lang w:val="en-GB"/>
        </w:rPr>
        <w:t>), w</w:t>
      </w:r>
      <w:r w:rsidRPr="005B177A">
        <w:rPr>
          <w:lang w:val="en-GB"/>
        </w:rPr>
        <w:t>ater (H</w:t>
      </w:r>
      <w:r w:rsidRPr="005B177A">
        <w:rPr>
          <w:vertAlign w:val="subscript"/>
          <w:lang w:val="en-GB"/>
        </w:rPr>
        <w:t>2</w:t>
      </w:r>
      <w:r w:rsidR="007675CA">
        <w:rPr>
          <w:lang w:val="en-GB"/>
        </w:rPr>
        <w:t>O), carbon monoxide (CO), h</w:t>
      </w:r>
      <w:r w:rsidRPr="005B177A">
        <w:rPr>
          <w:lang w:val="en-GB"/>
        </w:rPr>
        <w:t>ydrogen (H</w:t>
      </w:r>
      <w:r w:rsidRPr="005B177A">
        <w:rPr>
          <w:vertAlign w:val="subscript"/>
          <w:lang w:val="en-GB"/>
        </w:rPr>
        <w:t>2</w:t>
      </w:r>
      <w:r w:rsidR="007675CA">
        <w:rPr>
          <w:lang w:val="en-GB"/>
        </w:rPr>
        <w:t>), solid c</w:t>
      </w:r>
      <w:r w:rsidRPr="005B177A">
        <w:rPr>
          <w:lang w:val="en-GB"/>
        </w:rPr>
        <w:t xml:space="preserve">arbon (C). For preliminary analysis, </w:t>
      </w:r>
      <w:r w:rsidR="007675CA">
        <w:rPr>
          <w:lang w:val="en-GB"/>
        </w:rPr>
        <w:t xml:space="preserve">it was </w:t>
      </w:r>
      <w:r w:rsidR="00F75B7B">
        <w:rPr>
          <w:lang w:val="en-GB"/>
        </w:rPr>
        <w:t>considered</w:t>
      </w:r>
      <w:r w:rsidR="00E01D32">
        <w:rPr>
          <w:lang w:val="en-GB"/>
        </w:rPr>
        <w:t xml:space="preserve"> at </w:t>
      </w:r>
      <w:r w:rsidR="00AB6D7F">
        <w:rPr>
          <w:lang w:val="en-GB"/>
        </w:rPr>
        <w:t xml:space="preserve">the </w:t>
      </w:r>
      <w:r w:rsidR="00E01D32">
        <w:rPr>
          <w:lang w:val="en-GB"/>
        </w:rPr>
        <w:t>feed</w:t>
      </w:r>
      <w:r w:rsidR="00F75B7B">
        <w:rPr>
          <w:lang w:val="en-GB"/>
        </w:rPr>
        <w:t xml:space="preserve">: </w:t>
      </w:r>
      <w:r w:rsidRPr="005B177A">
        <w:rPr>
          <w:lang w:val="en-GB"/>
        </w:rPr>
        <w:t>mol</w:t>
      </w:r>
      <w:r w:rsidR="00F75B7B">
        <w:rPr>
          <w:lang w:val="en-GB"/>
        </w:rPr>
        <w:t>ar ratio</w:t>
      </w:r>
      <w:r w:rsidRPr="005B177A">
        <w:rPr>
          <w:lang w:val="en-GB"/>
        </w:rPr>
        <w:t xml:space="preserve"> </w:t>
      </w:r>
      <w:r w:rsidR="00F75B7B">
        <w:rPr>
          <w:lang w:val="en-GB"/>
        </w:rPr>
        <w:t xml:space="preserve">1 </w:t>
      </w:r>
      <w:r w:rsidRPr="005B177A">
        <w:rPr>
          <w:lang w:val="en-GB"/>
        </w:rPr>
        <w:t>CH</w:t>
      </w:r>
      <w:r w:rsidRPr="005B177A">
        <w:rPr>
          <w:vertAlign w:val="subscript"/>
          <w:lang w:val="en-GB"/>
        </w:rPr>
        <w:t xml:space="preserve">4 </w:t>
      </w:r>
      <w:r w:rsidR="00A86163">
        <w:rPr>
          <w:lang w:val="en-GB"/>
        </w:rPr>
        <w:t xml:space="preserve">: </w:t>
      </w:r>
      <w:r w:rsidR="00F75B7B">
        <w:rPr>
          <w:lang w:val="en-GB"/>
        </w:rPr>
        <w:t>2 O</w:t>
      </w:r>
      <w:r w:rsidR="00F75B7B" w:rsidRPr="00F75B7B">
        <w:rPr>
          <w:vertAlign w:val="subscript"/>
          <w:lang w:val="en-GB"/>
        </w:rPr>
        <w:t>2</w:t>
      </w:r>
      <w:r w:rsidR="00F75B7B">
        <w:rPr>
          <w:lang w:val="en-GB"/>
        </w:rPr>
        <w:t xml:space="preserve">, </w:t>
      </w:r>
      <w:r w:rsidRPr="005B177A">
        <w:rPr>
          <w:lang w:val="en-GB"/>
        </w:rPr>
        <w:t>T = 25</w:t>
      </w:r>
      <w:r w:rsidRPr="005B177A">
        <w:rPr>
          <w:vertAlign w:val="superscript"/>
          <w:lang w:val="en-GB"/>
        </w:rPr>
        <w:t>o</w:t>
      </w:r>
      <w:r w:rsidR="000C21C3">
        <w:rPr>
          <w:lang w:val="en-GB"/>
        </w:rPr>
        <w:t>C, P</w:t>
      </w:r>
      <w:r w:rsidR="00031056">
        <w:rPr>
          <w:lang w:val="en-GB"/>
        </w:rPr>
        <w:t xml:space="preserve"> </w:t>
      </w:r>
      <w:r w:rsidR="000C21C3">
        <w:rPr>
          <w:lang w:val="en-GB"/>
        </w:rPr>
        <w:t>=</w:t>
      </w:r>
      <w:r w:rsidR="00031056">
        <w:rPr>
          <w:lang w:val="en-GB"/>
        </w:rPr>
        <w:t xml:space="preserve"> </w:t>
      </w:r>
      <w:r w:rsidR="000C21C3">
        <w:rPr>
          <w:lang w:val="en-GB"/>
        </w:rPr>
        <w:t>1 atm.</w:t>
      </w:r>
    </w:p>
    <w:p w:rsidR="00A5020A" w:rsidRPr="005B177A" w:rsidRDefault="00A5020A">
      <w:pPr>
        <w:pStyle w:val="normal0"/>
        <w:spacing w:before="120" w:after="120"/>
        <w:rPr>
          <w:b/>
          <w:lang w:val="en-GB"/>
        </w:rPr>
      </w:pPr>
      <w:r w:rsidRPr="005B177A">
        <w:rPr>
          <w:b/>
          <w:lang w:val="en-GB"/>
        </w:rPr>
        <w:t>4.2. Methane and Water</w:t>
      </w:r>
      <w:r w:rsidR="00D762BC">
        <w:rPr>
          <w:b/>
          <w:lang w:val="en-GB"/>
        </w:rPr>
        <w:t xml:space="preserve"> Reaction</w:t>
      </w:r>
    </w:p>
    <w:p w:rsidR="00A5020A" w:rsidRPr="005B177A" w:rsidRDefault="00A5020A">
      <w:pPr>
        <w:pStyle w:val="normal0"/>
        <w:spacing w:before="120" w:after="120"/>
        <w:rPr>
          <w:lang w:val="en-GB"/>
        </w:rPr>
      </w:pPr>
      <w:r w:rsidRPr="005B177A">
        <w:rPr>
          <w:lang w:val="en-GB"/>
        </w:rPr>
        <w:t xml:space="preserve">This case study </w:t>
      </w:r>
      <w:r w:rsidR="00933851" w:rsidRPr="005B177A">
        <w:rPr>
          <w:lang w:val="en-GB"/>
        </w:rPr>
        <w:t>analyzes</w:t>
      </w:r>
      <w:r w:rsidRPr="005B177A">
        <w:rPr>
          <w:lang w:val="en-GB"/>
        </w:rPr>
        <w:t xml:space="preserve"> the interaction between methane (</w:t>
      </w:r>
      <w:r w:rsidR="00933851">
        <w:rPr>
          <w:lang w:val="en-GB"/>
        </w:rPr>
        <w:t>CH</w:t>
      </w:r>
      <w:r w:rsidR="00933851" w:rsidRPr="00933851">
        <w:rPr>
          <w:vertAlign w:val="subscript"/>
          <w:lang w:val="en-GB"/>
        </w:rPr>
        <w:t>4</w:t>
      </w:r>
      <w:r w:rsidRPr="005B177A">
        <w:rPr>
          <w:lang w:val="en-GB"/>
        </w:rPr>
        <w:t>) and water (</w:t>
      </w:r>
      <w:r w:rsidR="00933851">
        <w:rPr>
          <w:lang w:val="en-GB"/>
        </w:rPr>
        <w:t>H</w:t>
      </w:r>
      <w:r w:rsidR="00933851" w:rsidRPr="00933851">
        <w:rPr>
          <w:vertAlign w:val="subscript"/>
          <w:lang w:val="en-GB"/>
        </w:rPr>
        <w:t>2</w:t>
      </w:r>
      <w:r w:rsidR="00933851">
        <w:rPr>
          <w:lang w:val="en-GB"/>
        </w:rPr>
        <w:t>O</w:t>
      </w:r>
      <w:r w:rsidRPr="005B177A">
        <w:rPr>
          <w:lang w:val="en-GB"/>
        </w:rPr>
        <w:t xml:space="preserve">), focusing on the thermodynamic analysis and feasibility of the process. The simulation, carried out in the Aspen Plus </w:t>
      </w:r>
      <w:r w:rsidRPr="006914F5">
        <w:rPr>
          <w:lang w:val="en-GB"/>
        </w:rPr>
        <w:t>software</w:t>
      </w:r>
      <w:r w:rsidRPr="005B177A">
        <w:rPr>
          <w:lang w:val="en-GB"/>
        </w:rPr>
        <w:t>, investigates the energy flows, the molar and volumetric fractions of the products, as well as the overall efficiency of the reactions, allowing a detailed assessment of the ideal conditions for industrial applications. The reaction between</w:t>
      </w:r>
      <w:r w:rsidR="006914F5">
        <w:rPr>
          <w:lang w:val="en-GB"/>
        </w:rPr>
        <w:t xml:space="preserve"> CH</w:t>
      </w:r>
      <w:r w:rsidR="006914F5" w:rsidRPr="006914F5">
        <w:rPr>
          <w:vertAlign w:val="subscript"/>
          <w:lang w:val="en-GB"/>
        </w:rPr>
        <w:t>4</w:t>
      </w:r>
      <w:r w:rsidR="006914F5">
        <w:rPr>
          <w:lang w:val="en-GB"/>
        </w:rPr>
        <w:t xml:space="preserve"> </w:t>
      </w:r>
      <w:r w:rsidRPr="005B177A">
        <w:rPr>
          <w:lang w:val="en-GB"/>
        </w:rPr>
        <w:t xml:space="preserve">and </w:t>
      </w:r>
      <w:r w:rsidR="006914F5">
        <w:rPr>
          <w:lang w:val="en-GB"/>
        </w:rPr>
        <w:t>H</w:t>
      </w:r>
      <w:r w:rsidR="006914F5" w:rsidRPr="006914F5">
        <w:rPr>
          <w:vertAlign w:val="subscript"/>
          <w:lang w:val="en-GB"/>
        </w:rPr>
        <w:t>2</w:t>
      </w:r>
      <w:r w:rsidR="006914F5">
        <w:rPr>
          <w:lang w:val="en-GB"/>
        </w:rPr>
        <w:t xml:space="preserve">O </w:t>
      </w:r>
      <w:r w:rsidRPr="005B177A">
        <w:rPr>
          <w:lang w:val="en-GB"/>
        </w:rPr>
        <w:t>follows various chemical routes, which are widely used in industrial processes, such as the production of synthesis gas (syngas) and hydrogen. The products vary according to the predominant chemical route and thermodynamic conditions. The main reactions include:</w:t>
      </w:r>
    </w:p>
    <w:p w:rsidR="00A5020A" w:rsidRPr="005B177A" w:rsidRDefault="00637FEB">
      <w:pPr>
        <w:pStyle w:val="normal0"/>
        <w:spacing w:before="120" w:after="120"/>
        <w:rPr>
          <w:lang w:val="en-GB"/>
        </w:rPr>
      </w:pPr>
      <w:r>
        <w:rPr>
          <w:lang w:val="en-GB"/>
        </w:rPr>
        <w:t xml:space="preserve">1. </w:t>
      </w:r>
      <w:r w:rsidR="00A5020A" w:rsidRPr="005B177A">
        <w:rPr>
          <w:lang w:val="en-GB"/>
        </w:rPr>
        <w:t>Methane Steam Reform</w:t>
      </w:r>
      <w:r w:rsidR="006A1E5A">
        <w:rPr>
          <w:lang w:val="en-GB"/>
        </w:rPr>
        <w:t xml:space="preserve"> (</w:t>
      </w:r>
      <w:r w:rsidR="008C4C93">
        <w:rPr>
          <w:lang w:val="en-GB"/>
        </w:rPr>
        <w:t>endo</w:t>
      </w:r>
      <w:r w:rsidR="006A1E5A">
        <w:rPr>
          <w:lang w:val="en-GB"/>
        </w:rPr>
        <w:t>thermic):</w:t>
      </w:r>
    </w:p>
    <w:tbl>
      <w:tblPr>
        <w:tblW w:w="8787" w:type="dxa"/>
        <w:tblLayout w:type="fixed"/>
        <w:tblCellMar>
          <w:left w:w="115" w:type="dxa"/>
          <w:right w:w="115" w:type="dxa"/>
        </w:tblCellMar>
        <w:tblLook w:val="0000"/>
      </w:tblPr>
      <w:tblGrid>
        <w:gridCol w:w="7980"/>
        <w:gridCol w:w="807"/>
      </w:tblGrid>
      <w:tr w:rsidR="00A5020A" w:rsidRPr="005B177A" w:rsidTr="00013195">
        <w:tc>
          <w:tcPr>
            <w:tcW w:w="7980" w:type="dxa"/>
            <w:vAlign w:val="center"/>
          </w:tcPr>
          <w:p w:rsidR="00A5020A" w:rsidRPr="005B177A" w:rsidRDefault="00A5020A" w:rsidP="00013195">
            <w:pPr>
              <w:pStyle w:val="normal0"/>
              <w:spacing w:before="120" w:after="120"/>
              <w:jc w:val="left"/>
              <w:rPr>
                <w:color w:val="000000"/>
                <w:lang w:val="en-GB"/>
              </w:rPr>
            </w:pPr>
            <w:r w:rsidRPr="005B177A">
              <w:rPr>
                <w:color w:val="000000"/>
                <w:lang w:val="en-GB"/>
              </w:rPr>
              <w:t>CH</w:t>
            </w:r>
            <w:r w:rsidRPr="005B177A">
              <w:rPr>
                <w:color w:val="000000"/>
                <w:vertAlign w:val="subscript"/>
                <w:lang w:val="en-GB"/>
              </w:rPr>
              <w:t>4</w:t>
            </w:r>
            <w:r w:rsidR="009B273E">
              <w:rPr>
                <w:color w:val="000000"/>
                <w:vertAlign w:val="subscript"/>
                <w:lang w:val="en-GB"/>
              </w:rPr>
              <w:t xml:space="preserve"> </w:t>
            </w:r>
            <w:r w:rsidRPr="005B177A">
              <w:rPr>
                <w:color w:val="000000"/>
                <w:lang w:val="en-GB"/>
              </w:rPr>
              <w:t>+</w:t>
            </w:r>
            <w:r w:rsidR="009B273E">
              <w:rPr>
                <w:color w:val="000000"/>
                <w:lang w:val="en-GB"/>
              </w:rPr>
              <w:t xml:space="preserve"> </w:t>
            </w:r>
            <w:r w:rsidRPr="005B177A">
              <w:rPr>
                <w:color w:val="000000"/>
                <w:lang w:val="en-GB"/>
              </w:rPr>
              <w:t>H</w:t>
            </w:r>
            <w:r w:rsidRPr="005B177A">
              <w:rPr>
                <w:color w:val="000000"/>
                <w:vertAlign w:val="subscript"/>
                <w:lang w:val="en-GB"/>
              </w:rPr>
              <w:t>2</w:t>
            </w:r>
            <w:r w:rsidRPr="005B177A">
              <w:rPr>
                <w:color w:val="000000"/>
                <w:lang w:val="en-GB"/>
              </w:rPr>
              <w:t>O → CO</w:t>
            </w:r>
            <w:r w:rsidR="00F14D81">
              <w:rPr>
                <w:color w:val="000000"/>
                <w:lang w:val="en-GB"/>
              </w:rPr>
              <w:t xml:space="preserve"> </w:t>
            </w:r>
            <w:r w:rsidRPr="005B177A">
              <w:rPr>
                <w:color w:val="000000"/>
                <w:lang w:val="en-GB"/>
              </w:rPr>
              <w:t>+</w:t>
            </w:r>
            <w:r w:rsidR="00F14D81">
              <w:rPr>
                <w:color w:val="000000"/>
                <w:lang w:val="en-GB"/>
              </w:rPr>
              <w:t xml:space="preserve"> </w:t>
            </w:r>
            <w:r w:rsidRPr="005B177A">
              <w:rPr>
                <w:color w:val="000000"/>
                <w:lang w:val="en-GB"/>
              </w:rPr>
              <w:t>3</w:t>
            </w:r>
            <w:r w:rsidR="009B273E">
              <w:rPr>
                <w:color w:val="000000"/>
                <w:lang w:val="en-GB"/>
              </w:rPr>
              <w:t xml:space="preserve"> </w:t>
            </w:r>
            <w:r w:rsidRPr="005B177A">
              <w:rPr>
                <w:color w:val="000000"/>
                <w:lang w:val="en-GB"/>
              </w:rPr>
              <w:t>H</w:t>
            </w:r>
            <w:r w:rsidRPr="005B177A">
              <w:rPr>
                <w:color w:val="000000"/>
                <w:vertAlign w:val="subscript"/>
                <w:lang w:val="en-GB"/>
              </w:rPr>
              <w:t>2</w:t>
            </w:r>
          </w:p>
        </w:tc>
        <w:tc>
          <w:tcPr>
            <w:tcW w:w="807" w:type="dxa"/>
            <w:vAlign w:val="center"/>
          </w:tcPr>
          <w:p w:rsidR="00A5020A" w:rsidRPr="005B177A" w:rsidRDefault="00282BC4" w:rsidP="00013195">
            <w:pPr>
              <w:pStyle w:val="normal0"/>
              <w:spacing w:before="120" w:after="120"/>
              <w:jc w:val="right"/>
              <w:rPr>
                <w:color w:val="000000"/>
                <w:lang w:val="en-GB"/>
              </w:rPr>
            </w:pPr>
            <w:r>
              <w:rPr>
                <w:color w:val="000000"/>
                <w:lang w:val="en-GB"/>
              </w:rPr>
              <w:t>(14</w:t>
            </w:r>
            <w:r w:rsidR="00A5020A" w:rsidRPr="005B177A">
              <w:rPr>
                <w:color w:val="000000"/>
                <w:lang w:val="en-GB"/>
              </w:rPr>
              <w:t>)</w:t>
            </w:r>
          </w:p>
        </w:tc>
      </w:tr>
    </w:tbl>
    <w:p w:rsidR="00A5020A" w:rsidRPr="005B177A" w:rsidRDefault="00A5020A">
      <w:pPr>
        <w:pStyle w:val="normal0"/>
        <w:spacing w:before="120" w:after="120"/>
        <w:rPr>
          <w:lang w:val="en-GB"/>
        </w:rPr>
      </w:pPr>
      <w:r w:rsidRPr="005B177A">
        <w:rPr>
          <w:lang w:val="en-GB"/>
        </w:rPr>
        <w:t>This is the main reaction in industrial processes for synthesis gas production (mixture of CO and H</w:t>
      </w:r>
      <w:r w:rsidRPr="005B177A">
        <w:rPr>
          <w:vertAlign w:val="subscript"/>
          <w:lang w:val="en-GB"/>
        </w:rPr>
        <w:t>2</w:t>
      </w:r>
      <w:r w:rsidRPr="005B177A">
        <w:rPr>
          <w:lang w:val="en-GB"/>
        </w:rPr>
        <w:t>).</w:t>
      </w:r>
    </w:p>
    <w:p w:rsidR="00A5020A" w:rsidRPr="005B177A" w:rsidRDefault="00A1663E">
      <w:pPr>
        <w:pStyle w:val="normal0"/>
        <w:spacing w:before="120" w:after="120"/>
        <w:rPr>
          <w:lang w:val="en-GB"/>
        </w:rPr>
      </w:pPr>
      <w:r>
        <w:rPr>
          <w:lang w:val="en-GB"/>
        </w:rPr>
        <w:t xml:space="preserve">2. </w:t>
      </w:r>
      <w:r w:rsidR="00A5020A" w:rsidRPr="005B177A">
        <w:rPr>
          <w:lang w:val="en-GB"/>
        </w:rPr>
        <w:t>Ga</w:t>
      </w:r>
      <w:r>
        <w:rPr>
          <w:lang w:val="en-GB"/>
        </w:rPr>
        <w:t xml:space="preserve">s-water </w:t>
      </w:r>
      <w:r w:rsidR="007D0846">
        <w:rPr>
          <w:lang w:val="en-GB"/>
        </w:rPr>
        <w:t>shift</w:t>
      </w:r>
      <w:r w:rsidR="009945FD">
        <w:rPr>
          <w:lang w:val="en-GB"/>
        </w:rPr>
        <w:t xml:space="preserve"> reaction (</w:t>
      </w:r>
      <w:r w:rsidR="00C40451">
        <w:rPr>
          <w:lang w:val="en-GB"/>
        </w:rPr>
        <w:t>slightly exothermic</w:t>
      </w:r>
      <w:r w:rsidR="009945FD">
        <w:rPr>
          <w:lang w:val="en-GB"/>
        </w:rPr>
        <w:t>)</w:t>
      </w:r>
      <w:r>
        <w:rPr>
          <w:lang w:val="en-GB"/>
        </w:rPr>
        <w:t>:</w:t>
      </w:r>
    </w:p>
    <w:tbl>
      <w:tblPr>
        <w:tblW w:w="8787" w:type="dxa"/>
        <w:tblLayout w:type="fixed"/>
        <w:tblCellMar>
          <w:left w:w="115" w:type="dxa"/>
          <w:right w:w="115" w:type="dxa"/>
        </w:tblCellMar>
        <w:tblLook w:val="0000"/>
      </w:tblPr>
      <w:tblGrid>
        <w:gridCol w:w="7980"/>
        <w:gridCol w:w="807"/>
      </w:tblGrid>
      <w:tr w:rsidR="00A5020A" w:rsidRPr="005B177A" w:rsidTr="00013195">
        <w:tc>
          <w:tcPr>
            <w:tcW w:w="7980" w:type="dxa"/>
            <w:vAlign w:val="center"/>
          </w:tcPr>
          <w:p w:rsidR="00A5020A" w:rsidRPr="005B177A" w:rsidRDefault="00A5020A" w:rsidP="00013195">
            <w:pPr>
              <w:pStyle w:val="normal0"/>
              <w:spacing w:before="120" w:after="120"/>
              <w:jc w:val="left"/>
              <w:rPr>
                <w:color w:val="000000"/>
                <w:lang w:val="en-GB"/>
              </w:rPr>
            </w:pPr>
            <w:r w:rsidRPr="005B177A">
              <w:rPr>
                <w:color w:val="000000"/>
                <w:lang w:val="en-GB"/>
              </w:rPr>
              <w:t>CO</w:t>
            </w:r>
            <w:r w:rsidR="000922FD">
              <w:rPr>
                <w:color w:val="000000"/>
                <w:lang w:val="en-GB"/>
              </w:rPr>
              <w:t xml:space="preserve"> </w:t>
            </w:r>
            <w:r w:rsidRPr="005B177A">
              <w:rPr>
                <w:color w:val="000000"/>
                <w:lang w:val="en-GB"/>
              </w:rPr>
              <w:t>+</w:t>
            </w:r>
            <w:r w:rsidR="000922FD">
              <w:rPr>
                <w:color w:val="000000"/>
                <w:lang w:val="en-GB"/>
              </w:rPr>
              <w:t xml:space="preserve"> </w:t>
            </w:r>
            <w:r w:rsidRPr="005B177A">
              <w:rPr>
                <w:color w:val="000000"/>
                <w:lang w:val="en-GB"/>
              </w:rPr>
              <w:t>H</w:t>
            </w:r>
            <w:r w:rsidRPr="005B177A">
              <w:rPr>
                <w:color w:val="000000"/>
                <w:vertAlign w:val="subscript"/>
                <w:lang w:val="en-GB"/>
              </w:rPr>
              <w:t>2</w:t>
            </w:r>
            <w:r w:rsidRPr="005B177A">
              <w:rPr>
                <w:color w:val="000000"/>
                <w:lang w:val="en-GB"/>
              </w:rPr>
              <w:t>O → CO</w:t>
            </w:r>
            <w:r w:rsidRPr="005B177A">
              <w:rPr>
                <w:color w:val="000000"/>
                <w:vertAlign w:val="subscript"/>
                <w:lang w:val="en-GB"/>
              </w:rPr>
              <w:t>2</w:t>
            </w:r>
            <w:r w:rsidR="000922FD">
              <w:rPr>
                <w:color w:val="000000"/>
                <w:vertAlign w:val="subscript"/>
                <w:lang w:val="en-GB"/>
              </w:rPr>
              <w:t xml:space="preserve"> </w:t>
            </w:r>
            <w:r w:rsidRPr="005B177A">
              <w:rPr>
                <w:color w:val="000000"/>
                <w:lang w:val="en-GB"/>
              </w:rPr>
              <w:t>+</w:t>
            </w:r>
            <w:r w:rsidR="000922FD">
              <w:rPr>
                <w:color w:val="000000"/>
                <w:lang w:val="en-GB"/>
              </w:rPr>
              <w:t xml:space="preserve"> </w:t>
            </w:r>
            <w:r w:rsidRPr="005B177A">
              <w:rPr>
                <w:color w:val="000000"/>
                <w:lang w:val="en-GB"/>
              </w:rPr>
              <w:t>H</w:t>
            </w:r>
            <w:r w:rsidRPr="005B177A">
              <w:rPr>
                <w:color w:val="000000"/>
                <w:vertAlign w:val="subscript"/>
                <w:lang w:val="en-GB"/>
              </w:rPr>
              <w:t>2</w:t>
            </w:r>
          </w:p>
        </w:tc>
        <w:tc>
          <w:tcPr>
            <w:tcW w:w="807" w:type="dxa"/>
            <w:vAlign w:val="center"/>
          </w:tcPr>
          <w:p w:rsidR="00A5020A" w:rsidRPr="005B177A" w:rsidRDefault="00282BC4" w:rsidP="00013195">
            <w:pPr>
              <w:pStyle w:val="normal0"/>
              <w:spacing w:before="120" w:after="120"/>
              <w:jc w:val="right"/>
              <w:rPr>
                <w:color w:val="000000"/>
                <w:lang w:val="en-GB"/>
              </w:rPr>
            </w:pPr>
            <w:r>
              <w:rPr>
                <w:color w:val="000000"/>
                <w:lang w:val="en-GB"/>
              </w:rPr>
              <w:t>(15</w:t>
            </w:r>
            <w:r w:rsidR="00A5020A" w:rsidRPr="005B177A">
              <w:rPr>
                <w:color w:val="000000"/>
                <w:lang w:val="en-GB"/>
              </w:rPr>
              <w:t>)</w:t>
            </w:r>
          </w:p>
        </w:tc>
      </w:tr>
    </w:tbl>
    <w:p w:rsidR="00A5020A" w:rsidRPr="005B177A" w:rsidRDefault="00E55DD6">
      <w:pPr>
        <w:pStyle w:val="normal0"/>
        <w:spacing w:before="120" w:after="120"/>
        <w:rPr>
          <w:lang w:val="en-GB"/>
        </w:rPr>
      </w:pPr>
      <w:r>
        <w:rPr>
          <w:lang w:val="en-GB"/>
        </w:rPr>
        <w:t>3. Solid Carbon Formation</w:t>
      </w:r>
      <w:r w:rsidR="00A000A5">
        <w:rPr>
          <w:lang w:val="en-GB"/>
        </w:rPr>
        <w:t xml:space="preserve"> (exothermic)</w:t>
      </w:r>
      <w:r>
        <w:rPr>
          <w:lang w:val="en-GB"/>
        </w:rPr>
        <w:t>:</w:t>
      </w:r>
    </w:p>
    <w:tbl>
      <w:tblPr>
        <w:tblW w:w="8787" w:type="dxa"/>
        <w:tblLayout w:type="fixed"/>
        <w:tblCellMar>
          <w:left w:w="115" w:type="dxa"/>
          <w:right w:w="115" w:type="dxa"/>
        </w:tblCellMar>
        <w:tblLook w:val="0000"/>
      </w:tblPr>
      <w:tblGrid>
        <w:gridCol w:w="7980"/>
        <w:gridCol w:w="807"/>
      </w:tblGrid>
      <w:tr w:rsidR="00A5020A" w:rsidRPr="005B177A" w:rsidTr="00013195">
        <w:tc>
          <w:tcPr>
            <w:tcW w:w="7980" w:type="dxa"/>
            <w:vAlign w:val="center"/>
          </w:tcPr>
          <w:p w:rsidR="00A5020A" w:rsidRPr="005B177A" w:rsidRDefault="00E55DD6" w:rsidP="00013195">
            <w:pPr>
              <w:pStyle w:val="normal0"/>
              <w:spacing w:before="120" w:after="120"/>
              <w:jc w:val="left"/>
              <w:rPr>
                <w:color w:val="000000"/>
                <w:lang w:val="en-GB"/>
              </w:rPr>
            </w:pPr>
            <w:r>
              <w:rPr>
                <w:color w:val="000000"/>
                <w:lang w:val="en-GB"/>
              </w:rPr>
              <w:t xml:space="preserve">2 CO → </w:t>
            </w:r>
            <w:r w:rsidR="00A5020A" w:rsidRPr="005B177A">
              <w:rPr>
                <w:color w:val="000000"/>
                <w:lang w:val="en-GB"/>
              </w:rPr>
              <w:t>C</w:t>
            </w:r>
            <w:r>
              <w:rPr>
                <w:color w:val="000000"/>
                <w:lang w:val="en-GB"/>
              </w:rPr>
              <w:t xml:space="preserve"> </w:t>
            </w:r>
            <w:r w:rsidR="00A5020A" w:rsidRPr="005B177A">
              <w:rPr>
                <w:color w:val="000000"/>
                <w:lang w:val="en-GB"/>
              </w:rPr>
              <w:t>+</w:t>
            </w:r>
            <w:r>
              <w:rPr>
                <w:color w:val="000000"/>
                <w:lang w:val="en-GB"/>
              </w:rPr>
              <w:t xml:space="preserve"> </w:t>
            </w:r>
            <w:r w:rsidR="00A5020A" w:rsidRPr="005B177A">
              <w:rPr>
                <w:color w:val="000000"/>
                <w:lang w:val="en-GB"/>
              </w:rPr>
              <w:t>CO</w:t>
            </w:r>
            <w:r w:rsidR="00A5020A" w:rsidRPr="005B177A">
              <w:rPr>
                <w:color w:val="000000"/>
                <w:vertAlign w:val="subscript"/>
                <w:lang w:val="en-GB"/>
              </w:rPr>
              <w:t>2</w:t>
            </w:r>
          </w:p>
        </w:tc>
        <w:tc>
          <w:tcPr>
            <w:tcW w:w="807" w:type="dxa"/>
            <w:vAlign w:val="center"/>
          </w:tcPr>
          <w:p w:rsidR="00A5020A" w:rsidRPr="005B177A" w:rsidRDefault="00282BC4" w:rsidP="00013195">
            <w:pPr>
              <w:pStyle w:val="normal0"/>
              <w:spacing w:before="120" w:after="120"/>
              <w:jc w:val="right"/>
              <w:rPr>
                <w:color w:val="000000"/>
                <w:lang w:val="en-GB"/>
              </w:rPr>
            </w:pPr>
            <w:r>
              <w:rPr>
                <w:color w:val="000000"/>
                <w:lang w:val="en-GB"/>
              </w:rPr>
              <w:t>(16</w:t>
            </w:r>
            <w:r w:rsidR="00A5020A" w:rsidRPr="005B177A">
              <w:rPr>
                <w:color w:val="000000"/>
                <w:lang w:val="en-GB"/>
              </w:rPr>
              <w:t>)</w:t>
            </w:r>
          </w:p>
        </w:tc>
      </w:tr>
    </w:tbl>
    <w:p w:rsidR="00A5020A" w:rsidRDefault="003C64BF">
      <w:pPr>
        <w:pStyle w:val="normal0"/>
        <w:spacing w:before="120" w:after="120"/>
        <w:rPr>
          <w:lang w:val="en-GB"/>
        </w:rPr>
      </w:pPr>
      <w:r w:rsidRPr="005B177A">
        <w:rPr>
          <w:lang w:val="en-GB"/>
        </w:rPr>
        <w:t xml:space="preserve">The products depend on the prevailing thermodynamic conditions and chemical routes, </w:t>
      </w:r>
      <w:r>
        <w:rPr>
          <w:lang w:val="en-GB"/>
        </w:rPr>
        <w:t>which are</w:t>
      </w:r>
      <w:r w:rsidR="002F1EB5">
        <w:rPr>
          <w:lang w:val="en-GB"/>
        </w:rPr>
        <w:t>: h</w:t>
      </w:r>
      <w:r w:rsidR="00A5020A" w:rsidRPr="005B177A">
        <w:rPr>
          <w:lang w:val="en-GB"/>
        </w:rPr>
        <w:t>ydrogen (H</w:t>
      </w:r>
      <w:r w:rsidR="00A5020A" w:rsidRPr="005B177A">
        <w:rPr>
          <w:vertAlign w:val="subscript"/>
          <w:lang w:val="en-GB"/>
        </w:rPr>
        <w:t>2</w:t>
      </w:r>
      <w:r w:rsidR="002F1EB5">
        <w:rPr>
          <w:lang w:val="en-GB"/>
        </w:rPr>
        <w:t>), carbon monoxide (CO), carbon d</w:t>
      </w:r>
      <w:r w:rsidR="00A5020A" w:rsidRPr="005B177A">
        <w:rPr>
          <w:lang w:val="en-GB"/>
        </w:rPr>
        <w:t>ioxide (CO</w:t>
      </w:r>
      <w:r w:rsidR="00A5020A" w:rsidRPr="005B177A">
        <w:rPr>
          <w:vertAlign w:val="subscript"/>
          <w:lang w:val="en-GB"/>
        </w:rPr>
        <w:t>2</w:t>
      </w:r>
      <w:r w:rsidR="002F1EB5">
        <w:rPr>
          <w:lang w:val="en-GB"/>
        </w:rPr>
        <w:t>), w</w:t>
      </w:r>
      <w:r w:rsidR="00A5020A" w:rsidRPr="005B177A">
        <w:rPr>
          <w:lang w:val="en-GB"/>
        </w:rPr>
        <w:t>ater (H</w:t>
      </w:r>
      <w:r w:rsidR="00A5020A" w:rsidRPr="005B177A">
        <w:rPr>
          <w:vertAlign w:val="subscript"/>
          <w:lang w:val="en-GB"/>
        </w:rPr>
        <w:t>2</w:t>
      </w:r>
      <w:r w:rsidR="002F1EB5">
        <w:rPr>
          <w:lang w:val="en-GB"/>
        </w:rPr>
        <w:t>O) and solid c</w:t>
      </w:r>
      <w:r w:rsidR="00A5020A" w:rsidRPr="005B177A">
        <w:rPr>
          <w:lang w:val="en-GB"/>
        </w:rPr>
        <w:t xml:space="preserve">arbon (C). For preliminary analysis, </w:t>
      </w:r>
      <w:r w:rsidR="002F1EB5">
        <w:rPr>
          <w:lang w:val="en-GB"/>
        </w:rPr>
        <w:t>it was</w:t>
      </w:r>
      <w:r w:rsidR="00A5020A" w:rsidRPr="005B177A">
        <w:rPr>
          <w:lang w:val="en-GB"/>
        </w:rPr>
        <w:t xml:space="preserve"> considered</w:t>
      </w:r>
      <w:r w:rsidR="000140AF">
        <w:rPr>
          <w:lang w:val="en-GB"/>
        </w:rPr>
        <w:t xml:space="preserve"> at </w:t>
      </w:r>
      <w:r w:rsidR="00D646B8">
        <w:rPr>
          <w:lang w:val="en-GB"/>
        </w:rPr>
        <w:t xml:space="preserve">the </w:t>
      </w:r>
      <w:r w:rsidR="000140AF">
        <w:rPr>
          <w:lang w:val="en-GB"/>
        </w:rPr>
        <w:t>feed</w:t>
      </w:r>
      <w:r w:rsidR="00A5020A" w:rsidRPr="005B177A">
        <w:rPr>
          <w:lang w:val="en-GB"/>
        </w:rPr>
        <w:t xml:space="preserve">: </w:t>
      </w:r>
      <w:r w:rsidR="00784DC5">
        <w:rPr>
          <w:lang w:val="en-GB"/>
        </w:rPr>
        <w:t>molar fraction</w:t>
      </w:r>
      <w:r w:rsidR="00B55E6F">
        <w:rPr>
          <w:lang w:val="en-GB"/>
        </w:rPr>
        <w:t>s</w:t>
      </w:r>
      <w:r w:rsidR="00784DC5">
        <w:rPr>
          <w:lang w:val="en-GB"/>
        </w:rPr>
        <w:t xml:space="preserve"> </w:t>
      </w:r>
      <w:r w:rsidR="00044FB0">
        <w:rPr>
          <w:lang w:val="en-GB"/>
        </w:rPr>
        <w:t>y</w:t>
      </w:r>
      <w:r w:rsidR="00EC67BC">
        <w:rPr>
          <w:lang w:val="en-GB"/>
        </w:rPr>
        <w:t>CH</w:t>
      </w:r>
      <w:r w:rsidR="00EC67BC" w:rsidRPr="00EC67BC">
        <w:rPr>
          <w:vertAlign w:val="subscript"/>
          <w:lang w:val="en-GB"/>
        </w:rPr>
        <w:t>4</w:t>
      </w:r>
      <w:r w:rsidR="00784DC5">
        <w:rPr>
          <w:lang w:val="en-GB"/>
        </w:rPr>
        <w:t xml:space="preserve"> =</w:t>
      </w:r>
      <w:r w:rsidR="00044FB0">
        <w:rPr>
          <w:lang w:val="en-GB"/>
        </w:rPr>
        <w:t xml:space="preserve"> 0.5289</w:t>
      </w:r>
      <w:r w:rsidR="00316774">
        <w:rPr>
          <w:lang w:val="en-GB"/>
        </w:rPr>
        <w:t xml:space="preserve"> and</w:t>
      </w:r>
      <w:r w:rsidR="00044FB0">
        <w:rPr>
          <w:lang w:val="en-GB"/>
        </w:rPr>
        <w:t xml:space="preserve"> y</w:t>
      </w:r>
      <w:r w:rsidR="00784DC5">
        <w:rPr>
          <w:lang w:val="en-GB"/>
        </w:rPr>
        <w:t>H</w:t>
      </w:r>
      <w:r w:rsidR="00784DC5" w:rsidRPr="00784DC5">
        <w:rPr>
          <w:vertAlign w:val="subscript"/>
          <w:lang w:val="en-GB"/>
        </w:rPr>
        <w:t>2</w:t>
      </w:r>
      <w:r w:rsidR="00784DC5">
        <w:rPr>
          <w:lang w:val="en-GB"/>
        </w:rPr>
        <w:t xml:space="preserve">O = </w:t>
      </w:r>
      <w:r w:rsidR="008E403F">
        <w:rPr>
          <w:lang w:val="en-GB"/>
        </w:rPr>
        <w:t>0.4710</w:t>
      </w:r>
      <w:r w:rsidR="00EC67BC">
        <w:rPr>
          <w:lang w:val="en-GB"/>
        </w:rPr>
        <w:t xml:space="preserve">, </w:t>
      </w:r>
      <w:r w:rsidR="00A5020A" w:rsidRPr="005B177A">
        <w:rPr>
          <w:lang w:val="en-GB"/>
        </w:rPr>
        <w:t>T = 25</w:t>
      </w:r>
      <w:r w:rsidR="00A5020A" w:rsidRPr="005B177A">
        <w:rPr>
          <w:vertAlign w:val="superscript"/>
          <w:lang w:val="en-GB"/>
        </w:rPr>
        <w:t>o</w:t>
      </w:r>
      <w:r w:rsidR="00A5020A" w:rsidRPr="005B177A">
        <w:rPr>
          <w:lang w:val="en-GB"/>
        </w:rPr>
        <w:t>C, P = 1 atm.</w:t>
      </w:r>
    </w:p>
    <w:p w:rsidR="00A5020A" w:rsidRPr="005B177A" w:rsidRDefault="00A5020A">
      <w:pPr>
        <w:pStyle w:val="normal0"/>
        <w:spacing w:before="120" w:after="120"/>
        <w:rPr>
          <w:b/>
          <w:lang w:val="en-GB"/>
        </w:rPr>
      </w:pPr>
      <w:r w:rsidRPr="005B177A">
        <w:rPr>
          <w:b/>
          <w:lang w:val="en-GB"/>
        </w:rPr>
        <w:t>4.3. Converting Intermediate Products into Value Added Products</w:t>
      </w:r>
    </w:p>
    <w:p w:rsidR="00A5020A" w:rsidRPr="003673C4" w:rsidRDefault="00A5020A" w:rsidP="00D85C6C">
      <w:pPr>
        <w:pStyle w:val="normal0"/>
        <w:shd w:val="clear" w:color="auto" w:fill="FFFFFF"/>
        <w:spacing w:after="240" w:line="240" w:lineRule="auto"/>
        <w:rPr>
          <w:lang w:val="en-GB"/>
        </w:rPr>
      </w:pPr>
      <w:r w:rsidRPr="005B177A">
        <w:rPr>
          <w:color w:val="222222"/>
          <w:lang w:val="en-GB"/>
        </w:rPr>
        <w:t xml:space="preserve">Using the results of </w:t>
      </w:r>
      <w:r w:rsidR="00543049">
        <w:rPr>
          <w:color w:val="222222"/>
          <w:lang w:val="en-GB"/>
        </w:rPr>
        <w:t xml:space="preserve">the </w:t>
      </w:r>
      <w:r w:rsidR="001D4846">
        <w:rPr>
          <w:color w:val="222222"/>
          <w:lang w:val="en-GB"/>
        </w:rPr>
        <w:t xml:space="preserve">previous </w:t>
      </w:r>
      <w:r w:rsidRPr="005B177A">
        <w:rPr>
          <w:color w:val="222222"/>
          <w:lang w:val="en-GB"/>
        </w:rPr>
        <w:t>case studies, which demonstrate the thermodynamic feasibility of the reactions between methane and oxygen and methane and water, it is proposed a process to use these reactions in the production of more valued products, such as</w:t>
      </w:r>
      <w:r w:rsidR="004273A0">
        <w:rPr>
          <w:color w:val="222222"/>
          <w:lang w:val="en-GB"/>
        </w:rPr>
        <w:t xml:space="preserve"> urea. This is based on the proposed approach of</w:t>
      </w:r>
      <w:r w:rsidRPr="005B177A">
        <w:rPr>
          <w:color w:val="222222"/>
          <w:lang w:val="en-GB"/>
        </w:rPr>
        <w:t xml:space="preserve"> </w:t>
      </w:r>
      <w:r w:rsidR="00543049">
        <w:rPr>
          <w:lang w:val="en-GB"/>
        </w:rPr>
        <w:t>f</w:t>
      </w:r>
      <w:r w:rsidRPr="005B177A">
        <w:rPr>
          <w:lang w:val="en-GB"/>
        </w:rPr>
        <w:t>ocusing on the synthesis of high value-added chemical compounds, integrating sustainable technologies and optimized processes.</w:t>
      </w:r>
      <w:r w:rsidR="004273A0">
        <w:rPr>
          <w:lang w:val="en-GB"/>
        </w:rPr>
        <w:t xml:space="preserve"> In the case of urea, it can be obtained from the reaction</w:t>
      </w:r>
      <w:r w:rsidR="004273A0" w:rsidRPr="004273A0">
        <w:rPr>
          <w:lang w:val="en-GB"/>
        </w:rPr>
        <w:t xml:space="preserve"> </w:t>
      </w:r>
      <w:r w:rsidR="00F0039E">
        <w:rPr>
          <w:lang w:val="en-GB"/>
        </w:rPr>
        <w:t xml:space="preserve">between </w:t>
      </w:r>
      <w:r w:rsidR="004273A0" w:rsidRPr="005B177A">
        <w:rPr>
          <w:lang w:val="en-GB"/>
        </w:rPr>
        <w:t>ammonia (</w:t>
      </w:r>
      <w:r w:rsidR="004273A0">
        <w:rPr>
          <w:lang w:val="en-GB"/>
        </w:rPr>
        <w:t>NH</w:t>
      </w:r>
      <w:r w:rsidR="004273A0" w:rsidRPr="001D4846">
        <w:rPr>
          <w:vertAlign w:val="subscript"/>
          <w:lang w:val="en-GB"/>
        </w:rPr>
        <w:t>3</w:t>
      </w:r>
      <w:r w:rsidR="004273A0" w:rsidRPr="005B177A">
        <w:rPr>
          <w:lang w:val="en-GB"/>
        </w:rPr>
        <w:t>) and carbon dioxide (</w:t>
      </w:r>
      <w:r w:rsidR="004273A0">
        <w:rPr>
          <w:lang w:val="en-GB"/>
        </w:rPr>
        <w:t>CO</w:t>
      </w:r>
      <w:r w:rsidR="004273A0" w:rsidRPr="001D4846">
        <w:rPr>
          <w:vertAlign w:val="subscript"/>
          <w:lang w:val="en-GB"/>
        </w:rPr>
        <w:t>2</w:t>
      </w:r>
      <w:r w:rsidR="004273A0">
        <w:rPr>
          <w:lang w:val="en-GB"/>
        </w:rPr>
        <w:t>)</w:t>
      </w:r>
      <w:r w:rsidR="003673C4">
        <w:rPr>
          <w:lang w:val="en-GB"/>
        </w:rPr>
        <w:t>, by d</w:t>
      </w:r>
      <w:r w:rsidRPr="005B177A">
        <w:rPr>
          <w:lang w:val="en-GB"/>
        </w:rPr>
        <w:t>eveloping and evaluating thermodynamically viable and economically attractive routes</w:t>
      </w:r>
      <w:r w:rsidR="003673C4">
        <w:rPr>
          <w:lang w:val="en-GB"/>
        </w:rPr>
        <w:t>. For example, i</w:t>
      </w:r>
      <w:r w:rsidRPr="005B177A">
        <w:rPr>
          <w:lang w:val="en-GB"/>
        </w:rPr>
        <w:t>ntegrating with methane reforming, using the hydrogen (</w:t>
      </w:r>
      <w:r w:rsidR="00252C98">
        <w:rPr>
          <w:lang w:val="en-GB"/>
        </w:rPr>
        <w:t>H</w:t>
      </w:r>
      <w:r w:rsidR="00252C98" w:rsidRPr="00252C98">
        <w:rPr>
          <w:vertAlign w:val="subscript"/>
          <w:lang w:val="en-GB"/>
        </w:rPr>
        <w:t>2</w:t>
      </w:r>
      <w:r w:rsidRPr="005B177A">
        <w:rPr>
          <w:lang w:val="en-GB"/>
        </w:rPr>
        <w:t>) produced in steam reforming as raw material for the synthesis of ammonia (</w:t>
      </w:r>
      <w:r w:rsidR="00252C98">
        <w:rPr>
          <w:lang w:val="en-GB"/>
        </w:rPr>
        <w:t>NH</w:t>
      </w:r>
      <w:r w:rsidR="00252C98" w:rsidRPr="00252C98">
        <w:rPr>
          <w:vertAlign w:val="subscript"/>
          <w:lang w:val="en-GB"/>
        </w:rPr>
        <w:t>3</w:t>
      </w:r>
      <w:r w:rsidRPr="005B177A">
        <w:rPr>
          <w:lang w:val="en-GB"/>
        </w:rPr>
        <w:t xml:space="preserve">) and evaluating the energy efficiency of the ammonia synthesis process considering the use of nitrogen from the air. For the conversion of </w:t>
      </w:r>
      <w:r w:rsidR="00252C98">
        <w:rPr>
          <w:lang w:val="en-GB"/>
        </w:rPr>
        <w:t>CO</w:t>
      </w:r>
      <w:r w:rsidR="00252C98" w:rsidRPr="00252C98">
        <w:rPr>
          <w:vertAlign w:val="subscript"/>
          <w:lang w:val="en-GB"/>
        </w:rPr>
        <w:t>2</w:t>
      </w:r>
      <w:r w:rsidRPr="005B177A">
        <w:rPr>
          <w:lang w:val="en-GB"/>
        </w:rPr>
        <w:t xml:space="preserve"> and </w:t>
      </w:r>
      <w:r w:rsidR="00252C98">
        <w:rPr>
          <w:lang w:val="en-GB"/>
        </w:rPr>
        <w:t>NH</w:t>
      </w:r>
      <w:r w:rsidR="00252C98" w:rsidRPr="00252C98">
        <w:rPr>
          <w:vertAlign w:val="subscript"/>
          <w:lang w:val="en-GB"/>
        </w:rPr>
        <w:t>3</w:t>
      </w:r>
      <w:r w:rsidRPr="005B177A">
        <w:rPr>
          <w:lang w:val="en-GB"/>
        </w:rPr>
        <w:t xml:space="preserve"> into urea, the </w:t>
      </w:r>
      <w:r w:rsidR="00252C98">
        <w:rPr>
          <w:lang w:val="en-GB"/>
        </w:rPr>
        <w:t>CO</w:t>
      </w:r>
      <w:r w:rsidR="00252C98" w:rsidRPr="00252C98">
        <w:rPr>
          <w:vertAlign w:val="subscript"/>
          <w:lang w:val="en-GB"/>
        </w:rPr>
        <w:t>2</w:t>
      </w:r>
      <w:r w:rsidRPr="005B177A">
        <w:rPr>
          <w:lang w:val="en-GB"/>
        </w:rPr>
        <w:t xml:space="preserve"> captured in </w:t>
      </w:r>
      <w:r w:rsidR="003673C4">
        <w:rPr>
          <w:lang w:val="en-GB"/>
        </w:rPr>
        <w:t xml:space="preserve">the </w:t>
      </w:r>
      <w:r w:rsidRPr="005B177A">
        <w:rPr>
          <w:lang w:val="en-GB"/>
        </w:rPr>
        <w:t xml:space="preserve">combustion and </w:t>
      </w:r>
      <w:r w:rsidR="003673C4">
        <w:rPr>
          <w:lang w:val="en-GB"/>
        </w:rPr>
        <w:t xml:space="preserve">the </w:t>
      </w:r>
      <w:r w:rsidRPr="005B177A">
        <w:rPr>
          <w:lang w:val="en-GB"/>
        </w:rPr>
        <w:t>reforming can be used to produce urea (</w:t>
      </w:r>
      <w:r w:rsidR="0006498C">
        <w:rPr>
          <w:lang w:val="en-GB"/>
        </w:rPr>
        <w:t>NH</w:t>
      </w:r>
      <w:r w:rsidR="0006498C" w:rsidRPr="0006498C">
        <w:rPr>
          <w:vertAlign w:val="subscript"/>
          <w:lang w:val="en-GB"/>
        </w:rPr>
        <w:t>2</w:t>
      </w:r>
      <w:r w:rsidR="0006498C">
        <w:rPr>
          <w:lang w:val="en-GB"/>
        </w:rPr>
        <w:t>CONH</w:t>
      </w:r>
      <w:r w:rsidR="0006498C" w:rsidRPr="0006498C">
        <w:rPr>
          <w:vertAlign w:val="subscript"/>
          <w:lang w:val="en-GB"/>
        </w:rPr>
        <w:t>2</w:t>
      </w:r>
      <w:r w:rsidRPr="005B177A">
        <w:rPr>
          <w:lang w:val="en-GB"/>
        </w:rPr>
        <w:t>), a product used as a fer</w:t>
      </w:r>
      <w:r w:rsidR="003673C4">
        <w:rPr>
          <w:lang w:val="en-GB"/>
        </w:rPr>
        <w:t xml:space="preserve">tilizer and industrial additive. </w:t>
      </w:r>
      <w:r w:rsidR="005F2C1E">
        <w:rPr>
          <w:lang w:val="en-GB"/>
        </w:rPr>
        <w:t>The final process will be found by</w:t>
      </w:r>
      <w:r w:rsidRPr="005B177A">
        <w:rPr>
          <w:lang w:val="en-GB"/>
        </w:rPr>
        <w:t xml:space="preserve"> carrying out simulations to determine the </w:t>
      </w:r>
      <w:r w:rsidR="0006498C">
        <w:rPr>
          <w:lang w:val="en-GB"/>
        </w:rPr>
        <w:t>optim</w:t>
      </w:r>
      <w:r w:rsidRPr="005B177A">
        <w:rPr>
          <w:lang w:val="en-GB"/>
        </w:rPr>
        <w:t>al conditions (temperature, pressure and molar ratios) to maximize the urea yield.</w:t>
      </w:r>
    </w:p>
    <w:p w:rsidR="0079368F" w:rsidRPr="005B177A" w:rsidRDefault="0079368F" w:rsidP="0040671A">
      <w:pPr>
        <w:pStyle w:val="normal0"/>
        <w:spacing w:before="240" w:after="120"/>
        <w:rPr>
          <w:b/>
          <w:sz w:val="20"/>
          <w:szCs w:val="20"/>
          <w:lang w:val="en-GB"/>
        </w:rPr>
      </w:pPr>
      <w:r>
        <w:rPr>
          <w:b/>
          <w:sz w:val="20"/>
          <w:szCs w:val="20"/>
          <w:lang w:val="en-GB"/>
        </w:rPr>
        <w:t>5</w:t>
      </w:r>
      <w:r w:rsidRPr="005B177A">
        <w:rPr>
          <w:b/>
          <w:sz w:val="20"/>
          <w:szCs w:val="20"/>
          <w:lang w:val="en-GB"/>
        </w:rPr>
        <w:t xml:space="preserve">. </w:t>
      </w:r>
      <w:r>
        <w:rPr>
          <w:b/>
          <w:sz w:val="20"/>
          <w:szCs w:val="20"/>
          <w:lang w:val="en-GB"/>
        </w:rPr>
        <w:t>Numerical Results</w:t>
      </w:r>
    </w:p>
    <w:p w:rsidR="00A5020A" w:rsidRPr="005B177A" w:rsidRDefault="00A5020A">
      <w:pPr>
        <w:pStyle w:val="normal0"/>
        <w:spacing w:before="120" w:after="120"/>
        <w:rPr>
          <w:lang w:val="en-GB"/>
        </w:rPr>
      </w:pPr>
      <w:r w:rsidRPr="005B177A">
        <w:rPr>
          <w:lang w:val="en-GB"/>
        </w:rPr>
        <w:t>The thermodynamic analysis of global reaction routes plays a fundamental role in the development of sustainable processes for utilizing methane (</w:t>
      </w:r>
      <w:r w:rsidR="003F4F47">
        <w:rPr>
          <w:lang w:val="en-GB"/>
        </w:rPr>
        <w:t>CH</w:t>
      </w:r>
      <w:r w:rsidR="003F4F47" w:rsidRPr="003F4F47">
        <w:rPr>
          <w:vertAlign w:val="subscript"/>
          <w:lang w:val="en-GB"/>
        </w:rPr>
        <w:t>4</w:t>
      </w:r>
      <w:r w:rsidRPr="005B177A">
        <w:rPr>
          <w:lang w:val="en-GB"/>
        </w:rPr>
        <w:t>) without emitting carbon dioxide (</w:t>
      </w:r>
      <w:r w:rsidR="003F4F47">
        <w:rPr>
          <w:lang w:val="en-GB"/>
        </w:rPr>
        <w:t>CO</w:t>
      </w:r>
      <w:r w:rsidR="003F4F47" w:rsidRPr="003F4F47">
        <w:rPr>
          <w:vertAlign w:val="subscript"/>
          <w:lang w:val="en-GB"/>
        </w:rPr>
        <w:t>2</w:t>
      </w:r>
      <w:r w:rsidRPr="005B177A">
        <w:rPr>
          <w:lang w:val="en-GB"/>
        </w:rPr>
        <w:t>). This study is especially relevant to overcome the limitation of many endothermic processes, which consume energy and reduce economic and environmental viability. This work focused on evaluating different reaction routes for the production of urea</w:t>
      </w:r>
      <w:r w:rsidR="00846038">
        <w:rPr>
          <w:lang w:val="en-GB"/>
        </w:rPr>
        <w:t>, as a case study,</w:t>
      </w:r>
      <w:r w:rsidRPr="005B177A">
        <w:rPr>
          <w:lang w:val="en-GB"/>
        </w:rPr>
        <w:t xml:space="preserve"> </w:t>
      </w:r>
      <w:r w:rsidR="00846038">
        <w:rPr>
          <w:lang w:val="en-GB"/>
        </w:rPr>
        <w:t>avoiding the emission of CO</w:t>
      </w:r>
      <w:r w:rsidR="00846038" w:rsidRPr="00846038">
        <w:rPr>
          <w:vertAlign w:val="subscript"/>
          <w:lang w:val="en-GB"/>
        </w:rPr>
        <w:t>2</w:t>
      </w:r>
      <w:r w:rsidR="00684C63">
        <w:rPr>
          <w:lang w:val="en-GB"/>
        </w:rPr>
        <w:t>, with a focus on identifying a global</w:t>
      </w:r>
      <w:r w:rsidRPr="005B177A">
        <w:rPr>
          <w:lang w:val="en-GB"/>
        </w:rPr>
        <w:t xml:space="preserve"> exothermic </w:t>
      </w:r>
      <w:r w:rsidR="00684C63">
        <w:rPr>
          <w:lang w:val="en-GB"/>
        </w:rPr>
        <w:t>process</w:t>
      </w:r>
      <w:r w:rsidRPr="005B177A">
        <w:rPr>
          <w:lang w:val="en-GB"/>
        </w:rPr>
        <w:t xml:space="preserve">. Thermodynamics was </w:t>
      </w:r>
      <w:r w:rsidR="00684C63">
        <w:rPr>
          <w:lang w:val="en-GB"/>
        </w:rPr>
        <w:t>considered</w:t>
      </w:r>
      <w:r w:rsidRPr="005B177A">
        <w:rPr>
          <w:lang w:val="en-GB"/>
        </w:rPr>
        <w:t xml:space="preserve"> by calculating the enthalpy variations (ΔH) and Gibbs energy (ΔG) of the reactions. These analyses made it possible to predict the spontaneity and thermodynamic feasi</w:t>
      </w:r>
      <w:r w:rsidR="00684C63">
        <w:rPr>
          <w:lang w:val="en-GB"/>
        </w:rPr>
        <w:t>bility of the processes studied. The initial conditions for the react</w:t>
      </w:r>
      <w:r w:rsidR="007914C1">
        <w:rPr>
          <w:lang w:val="en-GB"/>
        </w:rPr>
        <w:t>ants and the final conditions for</w:t>
      </w:r>
      <w:r w:rsidR="00684C63">
        <w:rPr>
          <w:lang w:val="en-GB"/>
        </w:rPr>
        <w:t xml:space="preserve"> the products</w:t>
      </w:r>
      <w:r w:rsidRPr="005B177A">
        <w:rPr>
          <w:lang w:val="en-GB"/>
        </w:rPr>
        <w:t xml:space="preserve"> </w:t>
      </w:r>
      <w:r w:rsidR="003F0EF1">
        <w:rPr>
          <w:lang w:val="en-GB"/>
        </w:rPr>
        <w:t xml:space="preserve">in the global process </w:t>
      </w:r>
      <w:r w:rsidR="00684C63">
        <w:rPr>
          <w:lang w:val="en-GB"/>
        </w:rPr>
        <w:t>were considered at</w:t>
      </w:r>
      <w:r w:rsidR="007C64FC">
        <w:rPr>
          <w:lang w:val="en-GB"/>
        </w:rPr>
        <w:t xml:space="preserve"> the </w:t>
      </w:r>
      <w:r w:rsidR="00684C63">
        <w:rPr>
          <w:lang w:val="en-GB"/>
        </w:rPr>
        <w:t>reference</w:t>
      </w:r>
      <w:r w:rsidR="007C64FC">
        <w:rPr>
          <w:lang w:val="en-GB"/>
        </w:rPr>
        <w:t xml:space="preserve"> state</w:t>
      </w:r>
      <w:r w:rsidR="00684C63">
        <w:rPr>
          <w:lang w:val="en-GB"/>
        </w:rPr>
        <w:t xml:space="preserve"> </w:t>
      </w:r>
      <w:r w:rsidRPr="005B177A">
        <w:rPr>
          <w:lang w:val="en-GB"/>
        </w:rPr>
        <w:t>of 25°C and 1 atm.</w:t>
      </w:r>
    </w:p>
    <w:p w:rsidR="00A5020A" w:rsidRPr="005B177A" w:rsidRDefault="00A5020A" w:rsidP="00AA75C2">
      <w:pPr>
        <w:pStyle w:val="normal0"/>
        <w:rPr>
          <w:lang w:val="en-GB"/>
        </w:rPr>
      </w:pPr>
      <w:r w:rsidRPr="005B177A">
        <w:rPr>
          <w:lang w:val="en-GB"/>
        </w:rPr>
        <w:t xml:space="preserve">In order to achieve the proposed objectives, </w:t>
      </w:r>
      <w:r w:rsidR="00C42E68">
        <w:rPr>
          <w:lang w:val="en-GB"/>
        </w:rPr>
        <w:t>the Aspen software was</w:t>
      </w:r>
      <w:r w:rsidRPr="005B177A">
        <w:rPr>
          <w:lang w:val="en-GB"/>
        </w:rPr>
        <w:t xml:space="preserve"> used to carry out graphical and numerical simulations</w:t>
      </w:r>
      <w:r w:rsidR="00845510">
        <w:rPr>
          <w:lang w:val="en-GB"/>
        </w:rPr>
        <w:t>, using a conversion reactor</w:t>
      </w:r>
      <w:r w:rsidRPr="005B177A">
        <w:rPr>
          <w:lang w:val="en-GB"/>
        </w:rPr>
        <w:t xml:space="preserve">. The input data, which included </w:t>
      </w:r>
      <w:r w:rsidR="00C42E68">
        <w:rPr>
          <w:lang w:val="en-GB"/>
        </w:rPr>
        <w:t>CH</w:t>
      </w:r>
      <w:r w:rsidR="00C42E68" w:rsidRPr="00C42E68">
        <w:rPr>
          <w:vertAlign w:val="subscript"/>
          <w:lang w:val="en-GB"/>
        </w:rPr>
        <w:t>4</w:t>
      </w:r>
      <w:r w:rsidRPr="005B177A">
        <w:rPr>
          <w:lang w:val="en-GB"/>
        </w:rPr>
        <w:t xml:space="preserve">, </w:t>
      </w:r>
      <w:r w:rsidR="00C42E68">
        <w:rPr>
          <w:lang w:val="en-GB"/>
        </w:rPr>
        <w:t>O</w:t>
      </w:r>
      <w:r w:rsidR="00C42E68" w:rsidRPr="00C42E68">
        <w:rPr>
          <w:vertAlign w:val="subscript"/>
          <w:lang w:val="en-GB"/>
        </w:rPr>
        <w:t>2</w:t>
      </w:r>
      <w:r w:rsidRPr="005B177A">
        <w:rPr>
          <w:lang w:val="en-GB"/>
        </w:rPr>
        <w:t xml:space="preserve">, and specific temperature and pressure conditions, was parameterized to evaluate the thermodynamic behaviour of different combinations of reactants and products. The simulations carried out were fundamental in determining </w:t>
      </w:r>
      <w:r w:rsidRPr="005B177A">
        <w:rPr>
          <w:lang w:val="en-GB"/>
        </w:rPr>
        <w:lastRenderedPageBreak/>
        <w:t>global enthalpy variations and identifying potentially favo</w:t>
      </w:r>
      <w:r w:rsidR="00BB528F">
        <w:rPr>
          <w:lang w:val="en-GB"/>
        </w:rPr>
        <w:t>u</w:t>
      </w:r>
      <w:r w:rsidRPr="005B177A">
        <w:rPr>
          <w:lang w:val="en-GB"/>
        </w:rPr>
        <w:t xml:space="preserve">rable reaction routes. The work also considered the need for the reactions to be sufficiently exothermic to compensate for losses in the process, ensuring greater efficiency and sustainability. The results presented below provide </w:t>
      </w:r>
      <w:r w:rsidR="00765609">
        <w:rPr>
          <w:lang w:val="en-GB"/>
        </w:rPr>
        <w:t>an</w:t>
      </w:r>
      <w:r w:rsidRPr="005B177A">
        <w:rPr>
          <w:lang w:val="en-GB"/>
        </w:rPr>
        <w:t xml:space="preserve"> analysis of the routes evaluated, taking into account the thermodynamic criteria established and the practical fe</w:t>
      </w:r>
      <w:r w:rsidR="00765609">
        <w:rPr>
          <w:lang w:val="en-GB"/>
        </w:rPr>
        <w:t>asibility of implementation of the proposed strategy</w:t>
      </w:r>
      <w:r w:rsidRPr="005B177A">
        <w:rPr>
          <w:lang w:val="en-GB"/>
        </w:rPr>
        <w:t>.</w:t>
      </w:r>
    </w:p>
    <w:p w:rsidR="00A5020A" w:rsidRPr="005B177A" w:rsidRDefault="00A5020A" w:rsidP="00104DF3">
      <w:pPr>
        <w:pStyle w:val="normal0"/>
        <w:keepNext/>
        <w:spacing w:before="240" w:line="240" w:lineRule="auto"/>
        <w:jc w:val="left"/>
        <w:rPr>
          <w:i/>
          <w:color w:val="000000"/>
          <w:lang w:val="en-GB"/>
        </w:rPr>
      </w:pPr>
      <w:r w:rsidRPr="005B177A">
        <w:rPr>
          <w:i/>
          <w:color w:val="000000"/>
          <w:lang w:val="en-GB"/>
        </w:rPr>
        <w:t xml:space="preserve">Table 1: Case Study 1 – </w:t>
      </w:r>
      <w:r w:rsidR="006A3A5E">
        <w:rPr>
          <w:i/>
          <w:color w:val="000000"/>
          <w:lang w:val="en-GB"/>
        </w:rPr>
        <w:t>CH</w:t>
      </w:r>
      <w:r w:rsidR="006A3A5E" w:rsidRPr="006A3A5E">
        <w:rPr>
          <w:i/>
          <w:color w:val="000000"/>
          <w:vertAlign w:val="subscript"/>
          <w:lang w:val="en-GB"/>
        </w:rPr>
        <w:t>4</w:t>
      </w:r>
      <w:r w:rsidR="006A3A5E">
        <w:rPr>
          <w:i/>
          <w:color w:val="000000"/>
          <w:lang w:val="en-GB"/>
        </w:rPr>
        <w:t xml:space="preserve"> + O</w:t>
      </w:r>
      <w:r w:rsidR="006A3A5E" w:rsidRPr="006A3A5E">
        <w:rPr>
          <w:i/>
          <w:color w:val="000000"/>
          <w:vertAlign w:val="subscript"/>
          <w:lang w:val="en-GB"/>
        </w:rPr>
        <w:t>2</w:t>
      </w:r>
    </w:p>
    <w:tbl>
      <w:tblPr>
        <w:tblW w:w="2520" w:type="dxa"/>
        <w:tblBorders>
          <w:top w:val="single" w:sz="12" w:space="0" w:color="008000"/>
          <w:bottom w:val="single" w:sz="12" w:space="0" w:color="008000"/>
        </w:tblBorders>
        <w:tblLayout w:type="fixed"/>
        <w:tblCellMar>
          <w:left w:w="0" w:type="dxa"/>
          <w:right w:w="0" w:type="dxa"/>
        </w:tblCellMar>
        <w:tblLook w:val="0000"/>
      </w:tblPr>
      <w:tblGrid>
        <w:gridCol w:w="1134"/>
        <w:gridCol w:w="1386"/>
      </w:tblGrid>
      <w:tr w:rsidR="00A5020A" w:rsidRPr="005B177A" w:rsidTr="00013195">
        <w:tc>
          <w:tcPr>
            <w:tcW w:w="1134" w:type="dxa"/>
            <w:tcBorders>
              <w:top w:val="single" w:sz="12" w:space="0" w:color="008000"/>
              <w:bottom w:val="single" w:sz="6" w:space="0" w:color="008000"/>
            </w:tcBorders>
            <w:shd w:val="clear" w:color="auto" w:fill="FFFFFF"/>
          </w:tcPr>
          <w:p w:rsidR="00A5020A" w:rsidRPr="005B177A" w:rsidRDefault="00A5020A" w:rsidP="00013195">
            <w:pPr>
              <w:pStyle w:val="Ttulo2"/>
              <w:spacing w:before="0" w:line="240" w:lineRule="auto"/>
              <w:jc w:val="center"/>
              <w:rPr>
                <w:rFonts w:ascii="Arial" w:hAnsi="Arial" w:cs="Arial"/>
                <w:color w:val="000000"/>
                <w:sz w:val="18"/>
                <w:szCs w:val="18"/>
                <w:lang w:val="en-GB"/>
              </w:rPr>
            </w:pPr>
            <w:r w:rsidRPr="005B177A">
              <w:rPr>
                <w:rFonts w:ascii="Arial" w:hAnsi="Arial" w:cs="Arial"/>
                <w:color w:val="000000"/>
                <w:sz w:val="18"/>
                <w:szCs w:val="18"/>
                <w:lang w:val="en-GB"/>
              </w:rPr>
              <w:t>Compo</w:t>
            </w:r>
            <w:r w:rsidR="004F6CDC">
              <w:rPr>
                <w:rFonts w:ascii="Arial" w:hAnsi="Arial" w:cs="Arial"/>
                <w:color w:val="000000"/>
                <w:sz w:val="18"/>
                <w:szCs w:val="18"/>
                <w:lang w:val="en-GB"/>
              </w:rPr>
              <w:t>und</w:t>
            </w:r>
          </w:p>
        </w:tc>
        <w:tc>
          <w:tcPr>
            <w:tcW w:w="1386" w:type="dxa"/>
            <w:tcBorders>
              <w:top w:val="single" w:sz="12" w:space="0" w:color="008000"/>
              <w:bottom w:val="single" w:sz="6" w:space="0" w:color="008000"/>
            </w:tcBorders>
            <w:shd w:val="clear" w:color="auto" w:fill="FFFFFF"/>
          </w:tcPr>
          <w:p w:rsidR="00A5020A" w:rsidRPr="005B177A" w:rsidRDefault="00A5020A" w:rsidP="00472366">
            <w:pPr>
              <w:pStyle w:val="Ttulo2"/>
              <w:spacing w:before="0" w:line="240" w:lineRule="auto"/>
              <w:jc w:val="center"/>
              <w:rPr>
                <w:rFonts w:ascii="Arial" w:hAnsi="Arial" w:cs="Arial"/>
                <w:color w:val="000000"/>
                <w:sz w:val="18"/>
                <w:szCs w:val="18"/>
                <w:lang w:val="en-GB"/>
              </w:rPr>
            </w:pPr>
            <w:r w:rsidRPr="005B177A">
              <w:rPr>
                <w:rFonts w:ascii="Arial" w:hAnsi="Arial" w:cs="Arial"/>
                <w:color w:val="000000"/>
                <w:sz w:val="18"/>
                <w:szCs w:val="18"/>
                <w:lang w:val="en-GB"/>
              </w:rPr>
              <w:t xml:space="preserve">Molar </w:t>
            </w:r>
            <w:r w:rsidR="00472366">
              <w:rPr>
                <w:rFonts w:ascii="Arial" w:hAnsi="Arial" w:cs="Arial"/>
                <w:color w:val="000000"/>
                <w:sz w:val="18"/>
                <w:szCs w:val="18"/>
                <w:lang w:val="en-GB"/>
              </w:rPr>
              <w:t>Ratio</w:t>
            </w:r>
          </w:p>
        </w:tc>
      </w:tr>
      <w:tr w:rsidR="00A5020A" w:rsidRPr="005B177A" w:rsidTr="00013195">
        <w:tc>
          <w:tcPr>
            <w:tcW w:w="1134" w:type="dxa"/>
            <w:shd w:val="clear" w:color="auto" w:fill="FFFFFF"/>
          </w:tcPr>
          <w:p w:rsidR="00A5020A" w:rsidRPr="005B177A" w:rsidRDefault="00A5020A"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CH</w:t>
            </w:r>
            <w:r w:rsidRPr="005B177A">
              <w:rPr>
                <w:rFonts w:ascii="Arial" w:hAnsi="Arial" w:cs="Arial"/>
                <w:b w:val="0"/>
                <w:color w:val="000000"/>
                <w:sz w:val="18"/>
                <w:szCs w:val="18"/>
                <w:vertAlign w:val="subscript"/>
                <w:lang w:val="en-GB"/>
              </w:rPr>
              <w:t>4</w:t>
            </w:r>
          </w:p>
        </w:tc>
        <w:tc>
          <w:tcPr>
            <w:tcW w:w="1386" w:type="dxa"/>
            <w:shd w:val="clear" w:color="auto" w:fill="FFFFFF"/>
          </w:tcPr>
          <w:p w:rsidR="00A5020A" w:rsidRPr="005B177A" w:rsidRDefault="00A5020A"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1</w:t>
            </w:r>
          </w:p>
        </w:tc>
      </w:tr>
      <w:tr w:rsidR="00A5020A" w:rsidRPr="005B177A" w:rsidTr="00013195">
        <w:tc>
          <w:tcPr>
            <w:tcW w:w="1134" w:type="dxa"/>
            <w:tcBorders>
              <w:bottom w:val="single" w:sz="12" w:space="0" w:color="008000"/>
            </w:tcBorders>
            <w:shd w:val="clear" w:color="auto" w:fill="FFFFFF"/>
          </w:tcPr>
          <w:p w:rsidR="00A5020A" w:rsidRPr="005B177A" w:rsidRDefault="00A5020A"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O</w:t>
            </w:r>
            <w:r w:rsidRPr="005B177A">
              <w:rPr>
                <w:rFonts w:ascii="Arial" w:hAnsi="Arial" w:cs="Arial"/>
                <w:b w:val="0"/>
                <w:color w:val="000000"/>
                <w:sz w:val="18"/>
                <w:szCs w:val="18"/>
                <w:vertAlign w:val="subscript"/>
                <w:lang w:val="en-GB"/>
              </w:rPr>
              <w:t>2</w:t>
            </w:r>
          </w:p>
        </w:tc>
        <w:tc>
          <w:tcPr>
            <w:tcW w:w="1386" w:type="dxa"/>
            <w:tcBorders>
              <w:bottom w:val="single" w:sz="12" w:space="0" w:color="008000"/>
            </w:tcBorders>
            <w:shd w:val="clear" w:color="auto" w:fill="FFFFFF"/>
          </w:tcPr>
          <w:p w:rsidR="00A5020A" w:rsidRPr="005B177A" w:rsidRDefault="00A5020A"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2</w:t>
            </w:r>
          </w:p>
        </w:tc>
      </w:tr>
    </w:tbl>
    <w:p w:rsidR="00A5020A" w:rsidRPr="005B177A" w:rsidRDefault="00A5020A" w:rsidP="00104DF3">
      <w:pPr>
        <w:pStyle w:val="normal0"/>
        <w:keepNext/>
        <w:spacing w:before="240" w:line="240" w:lineRule="auto"/>
        <w:jc w:val="left"/>
        <w:rPr>
          <w:i/>
          <w:color w:val="000000"/>
          <w:lang w:val="en-GB"/>
        </w:rPr>
      </w:pPr>
      <w:r w:rsidRPr="005B177A">
        <w:rPr>
          <w:i/>
          <w:color w:val="000000"/>
          <w:lang w:val="en-GB"/>
        </w:rPr>
        <w:t>Table 2: Case Study 1 – Flows</w:t>
      </w:r>
    </w:p>
    <w:tbl>
      <w:tblPr>
        <w:tblW w:w="4819" w:type="dxa"/>
        <w:tblBorders>
          <w:top w:val="single" w:sz="12" w:space="0" w:color="008000"/>
          <w:bottom w:val="single" w:sz="12" w:space="0" w:color="008000"/>
        </w:tblBorders>
        <w:tblLayout w:type="fixed"/>
        <w:tblCellMar>
          <w:left w:w="0" w:type="dxa"/>
          <w:right w:w="0" w:type="dxa"/>
        </w:tblCellMar>
        <w:tblLook w:val="0000"/>
      </w:tblPr>
      <w:tblGrid>
        <w:gridCol w:w="1134"/>
        <w:gridCol w:w="1206"/>
        <w:gridCol w:w="1062"/>
        <w:gridCol w:w="1417"/>
      </w:tblGrid>
      <w:tr w:rsidR="00A5229E" w:rsidRPr="005B177A" w:rsidTr="00A5229E">
        <w:tc>
          <w:tcPr>
            <w:tcW w:w="1134" w:type="dxa"/>
            <w:tcBorders>
              <w:top w:val="single" w:sz="12" w:space="0" w:color="008000"/>
              <w:bottom w:val="single" w:sz="6" w:space="0" w:color="008000"/>
            </w:tcBorders>
            <w:shd w:val="clear" w:color="auto" w:fill="FFFFFF"/>
          </w:tcPr>
          <w:p w:rsidR="00A5229E" w:rsidRPr="005B177A" w:rsidRDefault="00A5229E" w:rsidP="00013195">
            <w:pPr>
              <w:pStyle w:val="normal0"/>
              <w:jc w:val="center"/>
              <w:rPr>
                <w:b/>
                <w:color w:val="000000"/>
                <w:lang w:val="en-GB"/>
              </w:rPr>
            </w:pPr>
            <w:r w:rsidRPr="005B177A">
              <w:rPr>
                <w:b/>
                <w:color w:val="000000"/>
                <w:lang w:val="en-GB"/>
              </w:rPr>
              <w:t>Energy</w:t>
            </w:r>
          </w:p>
        </w:tc>
        <w:tc>
          <w:tcPr>
            <w:tcW w:w="1206" w:type="dxa"/>
            <w:tcBorders>
              <w:top w:val="single" w:sz="12" w:space="0" w:color="008000"/>
              <w:bottom w:val="single" w:sz="6" w:space="0" w:color="008000"/>
            </w:tcBorders>
            <w:shd w:val="clear" w:color="auto" w:fill="FFFFFF"/>
          </w:tcPr>
          <w:p w:rsidR="00A5229E" w:rsidRPr="005B177A" w:rsidRDefault="00A5229E" w:rsidP="00013195">
            <w:pPr>
              <w:pStyle w:val="normal0"/>
              <w:jc w:val="center"/>
              <w:rPr>
                <w:b/>
                <w:color w:val="000000"/>
                <w:lang w:val="en-GB"/>
              </w:rPr>
            </w:pPr>
            <w:r w:rsidRPr="005B177A">
              <w:rPr>
                <w:b/>
                <w:color w:val="000000"/>
                <w:lang w:val="en-GB"/>
              </w:rPr>
              <w:t>Molar Flow</w:t>
            </w:r>
          </w:p>
        </w:tc>
        <w:tc>
          <w:tcPr>
            <w:tcW w:w="1062" w:type="dxa"/>
            <w:tcBorders>
              <w:top w:val="single" w:sz="12" w:space="0" w:color="008000"/>
              <w:bottom w:val="single" w:sz="6" w:space="0" w:color="008000"/>
            </w:tcBorders>
            <w:shd w:val="clear" w:color="auto" w:fill="FFFFFF"/>
          </w:tcPr>
          <w:p w:rsidR="00A5229E" w:rsidRPr="005B177A" w:rsidRDefault="00A5229E" w:rsidP="00013195">
            <w:pPr>
              <w:pStyle w:val="normal0"/>
              <w:jc w:val="center"/>
              <w:rPr>
                <w:b/>
                <w:color w:val="000000"/>
                <w:lang w:val="en-GB"/>
              </w:rPr>
            </w:pPr>
            <w:r w:rsidRPr="005B177A">
              <w:rPr>
                <w:b/>
                <w:color w:val="000000"/>
                <w:lang w:val="en-GB"/>
              </w:rPr>
              <w:t>Mass Flow</w:t>
            </w:r>
          </w:p>
        </w:tc>
        <w:tc>
          <w:tcPr>
            <w:tcW w:w="1417" w:type="dxa"/>
            <w:tcBorders>
              <w:top w:val="single" w:sz="12" w:space="0" w:color="008000"/>
              <w:bottom w:val="single" w:sz="6" w:space="0" w:color="008000"/>
            </w:tcBorders>
            <w:shd w:val="clear" w:color="auto" w:fill="FFFFFF"/>
          </w:tcPr>
          <w:p w:rsidR="00A5229E" w:rsidRPr="005B177A" w:rsidRDefault="00A5229E" w:rsidP="00013195">
            <w:pPr>
              <w:pStyle w:val="normal0"/>
              <w:jc w:val="center"/>
              <w:rPr>
                <w:b/>
                <w:color w:val="000000"/>
                <w:lang w:val="en-GB"/>
              </w:rPr>
            </w:pPr>
            <w:r w:rsidRPr="00236CD8">
              <w:rPr>
                <w:rFonts w:ascii="Symbol" w:hAnsi="Symbol"/>
                <w:b/>
                <w:color w:val="000000"/>
                <w:lang w:val="en-GB"/>
              </w:rPr>
              <w:t></w:t>
            </w:r>
            <w:r w:rsidRPr="005B177A">
              <w:rPr>
                <w:b/>
                <w:color w:val="000000"/>
                <w:lang w:val="en-GB"/>
              </w:rPr>
              <w:t>Enthalpy</w:t>
            </w:r>
          </w:p>
        </w:tc>
      </w:tr>
      <w:tr w:rsidR="00A5229E" w:rsidRPr="005B177A" w:rsidTr="00A5229E">
        <w:tc>
          <w:tcPr>
            <w:tcW w:w="1134" w:type="dxa"/>
            <w:tcBorders>
              <w:bottom w:val="single" w:sz="12" w:space="0" w:color="008000"/>
            </w:tcBorders>
            <w:shd w:val="clear" w:color="auto" w:fill="FFFFFF"/>
          </w:tcPr>
          <w:p w:rsidR="00A5229E" w:rsidRPr="005B177A" w:rsidRDefault="00E70F2D" w:rsidP="00013195">
            <w:pPr>
              <w:pStyle w:val="Ttulo2"/>
              <w:spacing w:before="0" w:line="240" w:lineRule="auto"/>
              <w:jc w:val="center"/>
              <w:rPr>
                <w:rFonts w:ascii="Arial" w:hAnsi="Arial" w:cs="Arial"/>
                <w:b w:val="0"/>
                <w:color w:val="000000"/>
                <w:sz w:val="18"/>
                <w:szCs w:val="18"/>
                <w:lang w:val="en-GB"/>
              </w:rPr>
            </w:pPr>
            <w:r>
              <w:rPr>
                <w:rFonts w:ascii="Arial" w:hAnsi="Arial" w:cs="Arial"/>
                <w:b w:val="0"/>
                <w:color w:val="000000"/>
                <w:sz w:val="18"/>
                <w:szCs w:val="18"/>
                <w:lang w:val="en-GB"/>
              </w:rPr>
              <w:t>-4646.</w:t>
            </w:r>
            <w:r w:rsidR="00A5229E" w:rsidRPr="005B177A">
              <w:rPr>
                <w:rFonts w:ascii="Arial" w:hAnsi="Arial" w:cs="Arial"/>
                <w:b w:val="0"/>
                <w:color w:val="000000"/>
                <w:sz w:val="18"/>
                <w:szCs w:val="18"/>
                <w:lang w:val="en-GB"/>
              </w:rPr>
              <w:t>14kW</w:t>
            </w:r>
          </w:p>
        </w:tc>
        <w:tc>
          <w:tcPr>
            <w:tcW w:w="1206" w:type="dxa"/>
            <w:tcBorders>
              <w:bottom w:val="single" w:sz="12" w:space="0" w:color="008000"/>
            </w:tcBorders>
            <w:shd w:val="clear" w:color="auto" w:fill="FFFFFF"/>
          </w:tcPr>
          <w:p w:rsidR="00A5229E" w:rsidRPr="005B177A" w:rsidRDefault="00E70F2D" w:rsidP="00013195">
            <w:pPr>
              <w:pStyle w:val="Ttulo2"/>
              <w:spacing w:before="0" w:line="240" w:lineRule="auto"/>
              <w:jc w:val="center"/>
              <w:rPr>
                <w:rFonts w:ascii="Arial" w:hAnsi="Arial" w:cs="Arial"/>
                <w:b w:val="0"/>
                <w:color w:val="000000"/>
                <w:sz w:val="18"/>
                <w:szCs w:val="18"/>
                <w:lang w:val="en-GB"/>
              </w:rPr>
            </w:pPr>
            <w:r>
              <w:rPr>
                <w:rFonts w:ascii="Arial" w:hAnsi="Arial" w:cs="Arial"/>
                <w:b w:val="0"/>
                <w:color w:val="000000"/>
                <w:sz w:val="18"/>
                <w:szCs w:val="18"/>
                <w:lang w:val="en-GB"/>
              </w:rPr>
              <w:t>62.</w:t>
            </w:r>
            <w:r w:rsidR="00A5229E" w:rsidRPr="005B177A">
              <w:rPr>
                <w:rFonts w:ascii="Arial" w:hAnsi="Arial" w:cs="Arial"/>
                <w:b w:val="0"/>
                <w:color w:val="000000"/>
                <w:sz w:val="18"/>
                <w:szCs w:val="18"/>
                <w:lang w:val="en-GB"/>
              </w:rPr>
              <w:t>35 mol/s</w:t>
            </w:r>
          </w:p>
        </w:tc>
        <w:tc>
          <w:tcPr>
            <w:tcW w:w="1062" w:type="dxa"/>
            <w:tcBorders>
              <w:bottom w:val="single" w:sz="12" w:space="0" w:color="008000"/>
            </w:tcBorders>
            <w:shd w:val="clear" w:color="auto" w:fill="FFFFFF"/>
          </w:tcPr>
          <w:p w:rsidR="00A5229E" w:rsidRPr="005B177A" w:rsidRDefault="00A5229E"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1kg/s</w:t>
            </w:r>
          </w:p>
        </w:tc>
        <w:tc>
          <w:tcPr>
            <w:tcW w:w="1417" w:type="dxa"/>
            <w:tcBorders>
              <w:bottom w:val="single" w:sz="12" w:space="0" w:color="008000"/>
            </w:tcBorders>
            <w:shd w:val="clear" w:color="auto" w:fill="FFFFFF"/>
          </w:tcPr>
          <w:p w:rsidR="00A5229E" w:rsidRPr="005B177A" w:rsidRDefault="00E70F2D" w:rsidP="00013195">
            <w:pPr>
              <w:pStyle w:val="Ttulo2"/>
              <w:spacing w:before="0" w:line="240" w:lineRule="auto"/>
              <w:jc w:val="center"/>
              <w:rPr>
                <w:rFonts w:ascii="Arial" w:hAnsi="Arial" w:cs="Arial"/>
                <w:b w:val="0"/>
                <w:color w:val="000000"/>
                <w:sz w:val="18"/>
                <w:szCs w:val="18"/>
                <w:lang w:val="en-GB"/>
              </w:rPr>
            </w:pPr>
            <w:r>
              <w:rPr>
                <w:rFonts w:ascii="Arial" w:hAnsi="Arial" w:cs="Arial"/>
                <w:color w:val="000000"/>
                <w:sz w:val="18"/>
                <w:szCs w:val="18"/>
                <w:lang w:val="en-GB"/>
              </w:rPr>
              <w:t>-15.</w:t>
            </w:r>
            <w:r w:rsidR="00A5229E" w:rsidRPr="005B177A">
              <w:rPr>
                <w:rFonts w:ascii="Arial" w:hAnsi="Arial" w:cs="Arial"/>
                <w:color w:val="000000"/>
                <w:sz w:val="18"/>
                <w:szCs w:val="18"/>
                <w:lang w:val="en-GB"/>
              </w:rPr>
              <w:t>50 kJ/kmol</w:t>
            </w:r>
          </w:p>
        </w:tc>
      </w:tr>
    </w:tbl>
    <w:p w:rsidR="00A5020A" w:rsidRPr="005B177A" w:rsidRDefault="002A02AA" w:rsidP="00DC6B05">
      <w:pPr>
        <w:pStyle w:val="normal0"/>
        <w:spacing w:before="240"/>
        <w:rPr>
          <w:lang w:val="en-GB"/>
        </w:rPr>
      </w:pPr>
      <w:r>
        <w:rPr>
          <w:lang w:val="en-GB"/>
        </w:rPr>
        <w:t>As shown in Tables 1 and 2, t</w:t>
      </w:r>
      <w:r w:rsidR="00A5020A" w:rsidRPr="005B177A">
        <w:rPr>
          <w:lang w:val="en-GB"/>
        </w:rPr>
        <w:t xml:space="preserve">he negative </w:t>
      </w:r>
      <w:r w:rsidR="00E626BA">
        <w:rPr>
          <w:lang w:val="en-GB"/>
        </w:rPr>
        <w:t xml:space="preserve">variation in </w:t>
      </w:r>
      <w:r w:rsidR="00A5020A" w:rsidRPr="005B177A">
        <w:rPr>
          <w:lang w:val="en-GB"/>
        </w:rPr>
        <w:t>en</w:t>
      </w:r>
      <w:r w:rsidR="00E626BA">
        <w:rPr>
          <w:lang w:val="en-GB"/>
        </w:rPr>
        <w:t>thalpy</w:t>
      </w:r>
      <w:r w:rsidR="00A5020A" w:rsidRPr="005B177A">
        <w:rPr>
          <w:lang w:val="en-GB"/>
        </w:rPr>
        <w:t xml:space="preserve"> indicates that the process is exothermic, which </w:t>
      </w:r>
      <w:r>
        <w:rPr>
          <w:lang w:val="en-GB"/>
        </w:rPr>
        <w:t>is in agreement</w:t>
      </w:r>
      <w:r w:rsidR="00A5020A" w:rsidRPr="005B177A">
        <w:rPr>
          <w:lang w:val="en-GB"/>
        </w:rPr>
        <w:t xml:space="preserve"> that the simulated reaction route meets the objective of compensating for energy losses, making the process thermodynamically favo</w:t>
      </w:r>
      <w:r w:rsidR="00BD32BA">
        <w:rPr>
          <w:lang w:val="en-GB"/>
        </w:rPr>
        <w:t>u</w:t>
      </w:r>
      <w:r w:rsidR="00A5020A" w:rsidRPr="005B177A">
        <w:rPr>
          <w:lang w:val="en-GB"/>
        </w:rPr>
        <w:t xml:space="preserve">rable in terms of energy released. </w:t>
      </w:r>
      <w:r>
        <w:rPr>
          <w:lang w:val="en-GB"/>
        </w:rPr>
        <w:t xml:space="preserve">Also, </w:t>
      </w:r>
      <w:r w:rsidR="00A5020A" w:rsidRPr="005B177A">
        <w:rPr>
          <w:lang w:val="en-GB"/>
        </w:rPr>
        <w:t>all the reaction products are in the gas p</w:t>
      </w:r>
      <w:r>
        <w:rPr>
          <w:lang w:val="en-GB"/>
        </w:rPr>
        <w:t>hase at the end of the process.</w:t>
      </w:r>
    </w:p>
    <w:p w:rsidR="00A5020A" w:rsidRPr="005B177A" w:rsidRDefault="00A5020A">
      <w:pPr>
        <w:pStyle w:val="normal0"/>
        <w:spacing w:before="120" w:after="120"/>
        <w:rPr>
          <w:lang w:val="en-GB"/>
        </w:rPr>
      </w:pPr>
      <w:r w:rsidRPr="005B177A">
        <w:rPr>
          <w:lang w:val="en-GB"/>
        </w:rPr>
        <w:t xml:space="preserve">The </w:t>
      </w:r>
      <w:r w:rsidR="009B6CB8">
        <w:rPr>
          <w:lang w:val="en-GB"/>
        </w:rPr>
        <w:t>increase in</w:t>
      </w:r>
      <w:r w:rsidRPr="005B177A">
        <w:rPr>
          <w:lang w:val="en-GB"/>
        </w:rPr>
        <w:t xml:space="preserve"> molar flux suggests a reaction with efficient conver</w:t>
      </w:r>
      <w:r w:rsidR="009B6CB8">
        <w:rPr>
          <w:lang w:val="en-GB"/>
        </w:rPr>
        <w:t>sion of reactants into products, since f</w:t>
      </w:r>
      <w:r w:rsidRPr="005B177A">
        <w:rPr>
          <w:lang w:val="en-GB"/>
        </w:rPr>
        <w:t xml:space="preserve">or an initial mole of </w:t>
      </w:r>
      <w:r w:rsidR="002D7223">
        <w:rPr>
          <w:lang w:val="en-GB"/>
        </w:rPr>
        <w:t>CH</w:t>
      </w:r>
      <w:r w:rsidR="002D7223" w:rsidRPr="002D7223">
        <w:rPr>
          <w:vertAlign w:val="subscript"/>
          <w:lang w:val="en-GB"/>
        </w:rPr>
        <w:t>4</w:t>
      </w:r>
      <w:r w:rsidR="00234A8B">
        <w:rPr>
          <w:lang w:val="en-GB"/>
        </w:rPr>
        <w:t xml:space="preserve"> and 2 moles of O</w:t>
      </w:r>
      <w:r w:rsidR="00234A8B" w:rsidRPr="00234A8B">
        <w:rPr>
          <w:vertAlign w:val="subscript"/>
          <w:lang w:val="en-GB"/>
        </w:rPr>
        <w:t>2</w:t>
      </w:r>
      <w:r w:rsidR="00234A8B">
        <w:rPr>
          <w:lang w:val="en-GB"/>
        </w:rPr>
        <w:t>,</w:t>
      </w:r>
      <w:r w:rsidRPr="005B177A">
        <w:rPr>
          <w:lang w:val="en-GB"/>
        </w:rPr>
        <w:t xml:space="preserve"> an increase in molar flow indicates the formation of </w:t>
      </w:r>
      <w:r w:rsidR="009B6CB8">
        <w:rPr>
          <w:lang w:val="en-GB"/>
        </w:rPr>
        <w:t>several</w:t>
      </w:r>
      <w:r w:rsidRPr="005B177A">
        <w:rPr>
          <w:lang w:val="en-GB"/>
        </w:rPr>
        <w:t xml:space="preserve"> products pe</w:t>
      </w:r>
      <w:r w:rsidR="009B6CB8">
        <w:rPr>
          <w:lang w:val="en-GB"/>
        </w:rPr>
        <w:t>r mole of reactant, such as CO</w:t>
      </w:r>
      <w:r w:rsidR="009B6CB8" w:rsidRPr="009B6CB8">
        <w:rPr>
          <w:vertAlign w:val="subscript"/>
          <w:lang w:val="en-GB"/>
        </w:rPr>
        <w:t>2</w:t>
      </w:r>
      <w:r w:rsidRPr="005B177A">
        <w:rPr>
          <w:lang w:val="en-GB"/>
        </w:rPr>
        <w:t xml:space="preserve"> and </w:t>
      </w:r>
      <w:r w:rsidR="009B6CB8">
        <w:rPr>
          <w:lang w:val="en-GB"/>
        </w:rPr>
        <w:t>H</w:t>
      </w:r>
      <w:r w:rsidR="009B6CB8" w:rsidRPr="009B6CB8">
        <w:rPr>
          <w:vertAlign w:val="subscript"/>
          <w:lang w:val="en-GB"/>
        </w:rPr>
        <w:t>2</w:t>
      </w:r>
      <w:r w:rsidR="009B6CB8">
        <w:rPr>
          <w:lang w:val="en-GB"/>
        </w:rPr>
        <w:t>O</w:t>
      </w:r>
      <w:r w:rsidRPr="005B177A">
        <w:rPr>
          <w:lang w:val="en-GB"/>
        </w:rPr>
        <w:t xml:space="preserve">. </w:t>
      </w:r>
      <w:r w:rsidR="009B6CB8">
        <w:rPr>
          <w:lang w:val="en-GB"/>
        </w:rPr>
        <w:t>On the other hand, a</w:t>
      </w:r>
      <w:r w:rsidRPr="005B177A">
        <w:rPr>
          <w:lang w:val="en-GB"/>
        </w:rPr>
        <w:t xml:space="preserve"> constant mass flow</w:t>
      </w:r>
      <w:r w:rsidR="009B6CB8">
        <w:rPr>
          <w:lang w:val="en-GB"/>
        </w:rPr>
        <w:t xml:space="preserve"> (not molar flow) just</w:t>
      </w:r>
      <w:r w:rsidRPr="005B177A">
        <w:rPr>
          <w:lang w:val="en-GB"/>
        </w:rPr>
        <w:t xml:space="preserve"> reflects the conservation of mass in the process. The conversion of </w:t>
      </w:r>
      <w:r w:rsidR="000C0514">
        <w:rPr>
          <w:lang w:val="en-GB"/>
        </w:rPr>
        <w:t>CH</w:t>
      </w:r>
      <w:r w:rsidR="000C0514" w:rsidRPr="000C0514">
        <w:rPr>
          <w:vertAlign w:val="subscript"/>
          <w:lang w:val="en-GB"/>
        </w:rPr>
        <w:t>4</w:t>
      </w:r>
      <w:r w:rsidRPr="005B177A">
        <w:rPr>
          <w:lang w:val="en-GB"/>
        </w:rPr>
        <w:t xml:space="preserve"> and </w:t>
      </w:r>
      <w:r w:rsidR="000C0514">
        <w:rPr>
          <w:lang w:val="en-GB"/>
        </w:rPr>
        <w:t>O</w:t>
      </w:r>
      <w:r w:rsidR="000C0514" w:rsidRPr="000C0514">
        <w:rPr>
          <w:vertAlign w:val="subscript"/>
          <w:lang w:val="en-GB"/>
        </w:rPr>
        <w:t>2</w:t>
      </w:r>
      <w:r w:rsidRPr="005B177A">
        <w:rPr>
          <w:lang w:val="en-GB"/>
        </w:rPr>
        <w:t xml:space="preserve"> into products maintains the same initial mass flow, with the difference concentrated in the composition of the products.</w:t>
      </w:r>
    </w:p>
    <w:p w:rsidR="00A5020A" w:rsidRPr="005B177A" w:rsidRDefault="00A5020A" w:rsidP="00AA75C2">
      <w:pPr>
        <w:pStyle w:val="normal0"/>
        <w:rPr>
          <w:lang w:val="en-GB"/>
        </w:rPr>
      </w:pPr>
      <w:r w:rsidRPr="005B177A">
        <w:rPr>
          <w:lang w:val="en-GB"/>
        </w:rPr>
        <w:t>The negative enthalpy reinforces the exothermic nature of the reaction. This value reflects the release of heat in the process, contributing to the goal of minimizin</w:t>
      </w:r>
      <w:r w:rsidR="008651FE">
        <w:rPr>
          <w:lang w:val="en-GB"/>
        </w:rPr>
        <w:t>g the need for external energy.</w:t>
      </w:r>
    </w:p>
    <w:p w:rsidR="00A5020A" w:rsidRPr="005B177A" w:rsidRDefault="00A5020A" w:rsidP="00DC6E02">
      <w:pPr>
        <w:pStyle w:val="normal0"/>
        <w:keepNext/>
        <w:spacing w:before="240" w:line="240" w:lineRule="auto"/>
        <w:jc w:val="left"/>
        <w:rPr>
          <w:i/>
          <w:color w:val="000000"/>
          <w:lang w:val="en-GB"/>
        </w:rPr>
      </w:pPr>
      <w:r w:rsidRPr="005B177A">
        <w:rPr>
          <w:i/>
          <w:color w:val="000000"/>
          <w:lang w:val="en-GB"/>
        </w:rPr>
        <w:t xml:space="preserve">Table 3: Case Study 2 – </w:t>
      </w:r>
      <w:r w:rsidR="00000E33">
        <w:rPr>
          <w:i/>
          <w:color w:val="000000"/>
          <w:lang w:val="en-GB"/>
        </w:rPr>
        <w:t>CH</w:t>
      </w:r>
      <w:r w:rsidR="00000E33" w:rsidRPr="00000E33">
        <w:rPr>
          <w:i/>
          <w:color w:val="000000"/>
          <w:vertAlign w:val="subscript"/>
          <w:lang w:val="en-GB"/>
        </w:rPr>
        <w:t>4</w:t>
      </w:r>
      <w:r w:rsidR="006A3A5E">
        <w:rPr>
          <w:i/>
          <w:color w:val="000000"/>
          <w:lang w:val="en-GB"/>
        </w:rPr>
        <w:t xml:space="preserve"> </w:t>
      </w:r>
      <w:r w:rsidRPr="005B177A">
        <w:rPr>
          <w:i/>
          <w:color w:val="000000"/>
          <w:lang w:val="en-GB"/>
        </w:rPr>
        <w:t>+</w:t>
      </w:r>
      <w:r w:rsidR="006A3A5E">
        <w:rPr>
          <w:i/>
          <w:color w:val="000000"/>
          <w:lang w:val="en-GB"/>
        </w:rPr>
        <w:t xml:space="preserve"> </w:t>
      </w:r>
      <w:r w:rsidR="00000E33">
        <w:rPr>
          <w:i/>
          <w:color w:val="000000"/>
          <w:lang w:val="en-GB"/>
        </w:rPr>
        <w:t>H</w:t>
      </w:r>
      <w:r w:rsidR="00000E33" w:rsidRPr="00000E33">
        <w:rPr>
          <w:i/>
          <w:color w:val="000000"/>
          <w:vertAlign w:val="subscript"/>
          <w:lang w:val="en-GB"/>
        </w:rPr>
        <w:t>2</w:t>
      </w:r>
      <w:r w:rsidR="00000E33">
        <w:rPr>
          <w:i/>
          <w:color w:val="000000"/>
          <w:lang w:val="en-GB"/>
        </w:rPr>
        <w:t>O</w:t>
      </w:r>
    </w:p>
    <w:tbl>
      <w:tblPr>
        <w:tblW w:w="2880" w:type="dxa"/>
        <w:tblBorders>
          <w:top w:val="single" w:sz="12" w:space="0" w:color="008000"/>
          <w:bottom w:val="single" w:sz="12" w:space="0" w:color="008000"/>
        </w:tblBorders>
        <w:tblLayout w:type="fixed"/>
        <w:tblCellMar>
          <w:left w:w="0" w:type="dxa"/>
          <w:right w:w="0" w:type="dxa"/>
        </w:tblCellMar>
        <w:tblLook w:val="0000"/>
      </w:tblPr>
      <w:tblGrid>
        <w:gridCol w:w="1134"/>
        <w:gridCol w:w="1746"/>
      </w:tblGrid>
      <w:tr w:rsidR="0044752B" w:rsidRPr="005B177A" w:rsidTr="0044752B">
        <w:tc>
          <w:tcPr>
            <w:tcW w:w="1134" w:type="dxa"/>
            <w:tcBorders>
              <w:top w:val="single" w:sz="12" w:space="0" w:color="008000"/>
              <w:bottom w:val="single" w:sz="6" w:space="0" w:color="008000"/>
            </w:tcBorders>
            <w:shd w:val="clear" w:color="auto" w:fill="FFFFFF"/>
          </w:tcPr>
          <w:p w:rsidR="0044752B" w:rsidRPr="005B177A" w:rsidRDefault="0044752B" w:rsidP="00013195">
            <w:pPr>
              <w:pStyle w:val="Ttulo2"/>
              <w:spacing w:before="0" w:line="240" w:lineRule="auto"/>
              <w:jc w:val="center"/>
              <w:rPr>
                <w:rFonts w:ascii="Arial" w:hAnsi="Arial" w:cs="Arial"/>
                <w:color w:val="000000"/>
                <w:sz w:val="18"/>
                <w:szCs w:val="18"/>
                <w:lang w:val="en-GB"/>
              </w:rPr>
            </w:pPr>
            <w:r w:rsidRPr="005B177A">
              <w:rPr>
                <w:rFonts w:ascii="Arial" w:hAnsi="Arial" w:cs="Arial"/>
                <w:color w:val="000000"/>
                <w:sz w:val="18"/>
                <w:szCs w:val="18"/>
                <w:lang w:val="en-GB"/>
              </w:rPr>
              <w:t>Compo</w:t>
            </w:r>
            <w:r>
              <w:rPr>
                <w:rFonts w:ascii="Arial" w:hAnsi="Arial" w:cs="Arial"/>
                <w:color w:val="000000"/>
                <w:sz w:val="18"/>
                <w:szCs w:val="18"/>
                <w:lang w:val="en-GB"/>
              </w:rPr>
              <w:t>und</w:t>
            </w:r>
          </w:p>
        </w:tc>
        <w:tc>
          <w:tcPr>
            <w:tcW w:w="1746" w:type="dxa"/>
            <w:tcBorders>
              <w:top w:val="single" w:sz="12" w:space="0" w:color="008000"/>
              <w:bottom w:val="single" w:sz="6" w:space="0" w:color="008000"/>
            </w:tcBorders>
            <w:shd w:val="clear" w:color="auto" w:fill="FFFFFF"/>
          </w:tcPr>
          <w:p w:rsidR="0044752B" w:rsidRPr="005B177A" w:rsidRDefault="0044752B" w:rsidP="00013195">
            <w:pPr>
              <w:pStyle w:val="Ttulo2"/>
              <w:spacing w:before="0" w:line="240" w:lineRule="auto"/>
              <w:jc w:val="center"/>
              <w:rPr>
                <w:rFonts w:ascii="Arial" w:hAnsi="Arial" w:cs="Arial"/>
                <w:color w:val="000000"/>
                <w:sz w:val="18"/>
                <w:szCs w:val="18"/>
                <w:lang w:val="en-GB"/>
              </w:rPr>
            </w:pPr>
            <w:r w:rsidRPr="005B177A">
              <w:rPr>
                <w:rFonts w:ascii="Arial" w:hAnsi="Arial" w:cs="Arial"/>
                <w:color w:val="000000"/>
                <w:sz w:val="18"/>
                <w:szCs w:val="18"/>
                <w:lang w:val="en-GB"/>
              </w:rPr>
              <w:t>Molar Faction Input</w:t>
            </w:r>
          </w:p>
        </w:tc>
      </w:tr>
      <w:tr w:rsidR="0044752B" w:rsidRPr="005B177A" w:rsidTr="0044752B">
        <w:tc>
          <w:tcPr>
            <w:tcW w:w="1134" w:type="dxa"/>
            <w:shd w:val="clear" w:color="auto" w:fill="FFFFFF"/>
          </w:tcPr>
          <w:p w:rsidR="0044752B" w:rsidRPr="005B177A" w:rsidRDefault="0044752B"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CH</w:t>
            </w:r>
            <w:r w:rsidRPr="005B177A">
              <w:rPr>
                <w:rFonts w:ascii="Arial" w:hAnsi="Arial" w:cs="Arial"/>
                <w:b w:val="0"/>
                <w:color w:val="000000"/>
                <w:sz w:val="18"/>
                <w:szCs w:val="18"/>
                <w:vertAlign w:val="subscript"/>
                <w:lang w:val="en-GB"/>
              </w:rPr>
              <w:t>4</w:t>
            </w:r>
          </w:p>
        </w:tc>
        <w:tc>
          <w:tcPr>
            <w:tcW w:w="1746" w:type="dxa"/>
            <w:shd w:val="clear" w:color="auto" w:fill="FFFFFF"/>
          </w:tcPr>
          <w:p w:rsidR="0044752B" w:rsidRPr="005B177A" w:rsidRDefault="0044752B" w:rsidP="00013195">
            <w:pPr>
              <w:pStyle w:val="Ttulo2"/>
              <w:spacing w:before="0" w:line="240" w:lineRule="auto"/>
              <w:jc w:val="center"/>
              <w:rPr>
                <w:rFonts w:ascii="Arial" w:hAnsi="Arial" w:cs="Arial"/>
                <w:b w:val="0"/>
                <w:color w:val="000000"/>
                <w:sz w:val="18"/>
                <w:szCs w:val="18"/>
                <w:lang w:val="en-GB"/>
              </w:rPr>
            </w:pPr>
            <w:r>
              <w:rPr>
                <w:rFonts w:ascii="Arial" w:hAnsi="Arial" w:cs="Arial"/>
                <w:b w:val="0"/>
                <w:color w:val="000000"/>
                <w:sz w:val="18"/>
                <w:szCs w:val="18"/>
                <w:lang w:val="en-GB"/>
              </w:rPr>
              <w:t>0.</w:t>
            </w:r>
            <w:r w:rsidRPr="005B177A">
              <w:rPr>
                <w:rFonts w:ascii="Arial" w:hAnsi="Arial" w:cs="Arial"/>
                <w:b w:val="0"/>
                <w:color w:val="000000"/>
                <w:sz w:val="18"/>
                <w:szCs w:val="18"/>
                <w:lang w:val="en-GB"/>
              </w:rPr>
              <w:t>5289</w:t>
            </w:r>
          </w:p>
        </w:tc>
      </w:tr>
      <w:tr w:rsidR="0044752B" w:rsidRPr="005B177A" w:rsidTr="0044752B">
        <w:tc>
          <w:tcPr>
            <w:tcW w:w="1134" w:type="dxa"/>
            <w:tcBorders>
              <w:bottom w:val="single" w:sz="12" w:space="0" w:color="008000"/>
            </w:tcBorders>
            <w:shd w:val="clear" w:color="auto" w:fill="FFFFFF"/>
          </w:tcPr>
          <w:p w:rsidR="0044752B" w:rsidRPr="005B177A" w:rsidRDefault="0044752B"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H</w:t>
            </w:r>
            <w:r w:rsidRPr="005B177A">
              <w:rPr>
                <w:rFonts w:ascii="Arial" w:hAnsi="Arial" w:cs="Arial"/>
                <w:b w:val="0"/>
                <w:color w:val="000000"/>
                <w:sz w:val="18"/>
                <w:szCs w:val="18"/>
                <w:vertAlign w:val="subscript"/>
                <w:lang w:val="en-GB"/>
              </w:rPr>
              <w:t>2</w:t>
            </w:r>
            <w:r w:rsidRPr="005B177A">
              <w:rPr>
                <w:rFonts w:ascii="Arial" w:hAnsi="Arial" w:cs="Arial"/>
                <w:b w:val="0"/>
                <w:color w:val="000000"/>
                <w:sz w:val="18"/>
                <w:szCs w:val="18"/>
                <w:lang w:val="en-GB"/>
              </w:rPr>
              <w:t>O</w:t>
            </w:r>
          </w:p>
        </w:tc>
        <w:tc>
          <w:tcPr>
            <w:tcW w:w="1746" w:type="dxa"/>
            <w:tcBorders>
              <w:bottom w:val="single" w:sz="12" w:space="0" w:color="008000"/>
            </w:tcBorders>
            <w:shd w:val="clear" w:color="auto" w:fill="FFFFFF"/>
          </w:tcPr>
          <w:p w:rsidR="0044752B" w:rsidRPr="005B177A" w:rsidRDefault="0044752B" w:rsidP="00013195">
            <w:pPr>
              <w:pStyle w:val="Ttulo2"/>
              <w:spacing w:before="0" w:line="240" w:lineRule="auto"/>
              <w:jc w:val="center"/>
              <w:rPr>
                <w:rFonts w:ascii="Arial" w:hAnsi="Arial" w:cs="Arial"/>
                <w:b w:val="0"/>
                <w:color w:val="000000"/>
                <w:sz w:val="18"/>
                <w:szCs w:val="18"/>
                <w:lang w:val="en-GB"/>
              </w:rPr>
            </w:pPr>
            <w:r>
              <w:rPr>
                <w:rFonts w:ascii="Arial" w:hAnsi="Arial" w:cs="Arial"/>
                <w:b w:val="0"/>
                <w:color w:val="000000"/>
                <w:sz w:val="18"/>
                <w:szCs w:val="18"/>
                <w:lang w:val="en-GB"/>
              </w:rPr>
              <w:t>0.</w:t>
            </w:r>
            <w:r w:rsidRPr="005B177A">
              <w:rPr>
                <w:rFonts w:ascii="Arial" w:hAnsi="Arial" w:cs="Arial"/>
                <w:b w:val="0"/>
                <w:color w:val="000000"/>
                <w:sz w:val="18"/>
                <w:szCs w:val="18"/>
                <w:lang w:val="en-GB"/>
              </w:rPr>
              <w:t>4710</w:t>
            </w:r>
          </w:p>
        </w:tc>
      </w:tr>
    </w:tbl>
    <w:p w:rsidR="00A5020A" w:rsidRPr="005B177A" w:rsidRDefault="00A5020A" w:rsidP="00DC6E02">
      <w:pPr>
        <w:pStyle w:val="normal0"/>
        <w:keepNext/>
        <w:spacing w:before="240" w:line="240" w:lineRule="auto"/>
        <w:jc w:val="left"/>
        <w:rPr>
          <w:i/>
          <w:color w:val="000000"/>
          <w:lang w:val="en-GB"/>
        </w:rPr>
      </w:pPr>
      <w:r w:rsidRPr="005B177A">
        <w:rPr>
          <w:i/>
          <w:color w:val="000000"/>
          <w:lang w:val="en-GB"/>
        </w:rPr>
        <w:t>Table 4: Case Study 2 – Flows</w:t>
      </w:r>
    </w:p>
    <w:tbl>
      <w:tblPr>
        <w:tblW w:w="4819" w:type="dxa"/>
        <w:tblBorders>
          <w:top w:val="single" w:sz="12" w:space="0" w:color="008000"/>
          <w:bottom w:val="single" w:sz="12" w:space="0" w:color="008000"/>
        </w:tblBorders>
        <w:tblLayout w:type="fixed"/>
        <w:tblCellMar>
          <w:left w:w="0" w:type="dxa"/>
          <w:right w:w="0" w:type="dxa"/>
        </w:tblCellMar>
        <w:tblLook w:val="0000"/>
      </w:tblPr>
      <w:tblGrid>
        <w:gridCol w:w="1134"/>
        <w:gridCol w:w="1134"/>
        <w:gridCol w:w="1134"/>
        <w:gridCol w:w="1417"/>
      </w:tblGrid>
      <w:tr w:rsidR="00C75D46" w:rsidRPr="005B177A" w:rsidTr="00C75D46">
        <w:tc>
          <w:tcPr>
            <w:tcW w:w="1134" w:type="dxa"/>
            <w:tcBorders>
              <w:top w:val="single" w:sz="12" w:space="0" w:color="008000"/>
              <w:bottom w:val="single" w:sz="6" w:space="0" w:color="008000"/>
            </w:tcBorders>
            <w:shd w:val="clear" w:color="auto" w:fill="FFFFFF"/>
          </w:tcPr>
          <w:p w:rsidR="00C75D46" w:rsidRPr="005B177A" w:rsidRDefault="00C75D46" w:rsidP="00013195">
            <w:pPr>
              <w:pStyle w:val="normal0"/>
              <w:jc w:val="center"/>
              <w:rPr>
                <w:b/>
                <w:color w:val="000000"/>
                <w:lang w:val="en-GB"/>
              </w:rPr>
            </w:pPr>
            <w:r w:rsidRPr="005B177A">
              <w:rPr>
                <w:b/>
                <w:color w:val="000000"/>
                <w:lang w:val="en-GB"/>
              </w:rPr>
              <w:t>Energy</w:t>
            </w:r>
          </w:p>
        </w:tc>
        <w:tc>
          <w:tcPr>
            <w:tcW w:w="1134" w:type="dxa"/>
            <w:tcBorders>
              <w:top w:val="single" w:sz="12" w:space="0" w:color="008000"/>
              <w:bottom w:val="single" w:sz="6" w:space="0" w:color="008000"/>
            </w:tcBorders>
            <w:shd w:val="clear" w:color="auto" w:fill="FFFFFF"/>
          </w:tcPr>
          <w:p w:rsidR="00C75D46" w:rsidRPr="005B177A" w:rsidRDefault="00C75D46" w:rsidP="00013195">
            <w:pPr>
              <w:pStyle w:val="normal0"/>
              <w:jc w:val="center"/>
              <w:rPr>
                <w:b/>
                <w:color w:val="000000"/>
                <w:lang w:val="en-GB"/>
              </w:rPr>
            </w:pPr>
            <w:r w:rsidRPr="005B177A">
              <w:rPr>
                <w:b/>
                <w:color w:val="000000"/>
                <w:lang w:val="en-GB"/>
              </w:rPr>
              <w:t>Molar Flow</w:t>
            </w:r>
          </w:p>
        </w:tc>
        <w:tc>
          <w:tcPr>
            <w:tcW w:w="1134" w:type="dxa"/>
            <w:tcBorders>
              <w:top w:val="single" w:sz="12" w:space="0" w:color="008000"/>
              <w:bottom w:val="single" w:sz="6" w:space="0" w:color="008000"/>
            </w:tcBorders>
            <w:shd w:val="clear" w:color="auto" w:fill="FFFFFF"/>
          </w:tcPr>
          <w:p w:rsidR="00C75D46" w:rsidRPr="005B177A" w:rsidRDefault="00C75D46" w:rsidP="00013195">
            <w:pPr>
              <w:pStyle w:val="normal0"/>
              <w:jc w:val="center"/>
              <w:rPr>
                <w:b/>
                <w:color w:val="000000"/>
                <w:lang w:val="en-GB"/>
              </w:rPr>
            </w:pPr>
            <w:r w:rsidRPr="005B177A">
              <w:rPr>
                <w:b/>
                <w:color w:val="000000"/>
                <w:lang w:val="en-GB"/>
              </w:rPr>
              <w:t>Mass Flow</w:t>
            </w:r>
          </w:p>
        </w:tc>
        <w:tc>
          <w:tcPr>
            <w:tcW w:w="1417" w:type="dxa"/>
            <w:tcBorders>
              <w:top w:val="single" w:sz="12" w:space="0" w:color="008000"/>
              <w:bottom w:val="single" w:sz="6" w:space="0" w:color="008000"/>
            </w:tcBorders>
            <w:shd w:val="clear" w:color="auto" w:fill="FFFFFF"/>
          </w:tcPr>
          <w:p w:rsidR="00C75D46" w:rsidRPr="005B177A" w:rsidRDefault="00C75D46" w:rsidP="00013195">
            <w:pPr>
              <w:pStyle w:val="normal0"/>
              <w:jc w:val="center"/>
              <w:rPr>
                <w:b/>
                <w:color w:val="000000"/>
                <w:lang w:val="en-GB"/>
              </w:rPr>
            </w:pPr>
            <w:r w:rsidRPr="00C75D46">
              <w:rPr>
                <w:rFonts w:ascii="Symbol" w:hAnsi="Symbol"/>
                <w:b/>
                <w:color w:val="000000"/>
                <w:lang w:val="en-GB"/>
              </w:rPr>
              <w:t></w:t>
            </w:r>
            <w:r w:rsidRPr="005B177A">
              <w:rPr>
                <w:b/>
                <w:color w:val="000000"/>
                <w:lang w:val="en-GB"/>
              </w:rPr>
              <w:t>Enthalpy</w:t>
            </w:r>
          </w:p>
        </w:tc>
      </w:tr>
      <w:tr w:rsidR="00C75D46" w:rsidRPr="005B177A" w:rsidTr="00C75D46">
        <w:tc>
          <w:tcPr>
            <w:tcW w:w="1134" w:type="dxa"/>
            <w:tcBorders>
              <w:bottom w:val="single" w:sz="12" w:space="0" w:color="008000"/>
            </w:tcBorders>
            <w:shd w:val="clear" w:color="auto" w:fill="FFFFFF"/>
          </w:tcPr>
          <w:p w:rsidR="00C75D46" w:rsidRPr="005B177A" w:rsidRDefault="00C75D46"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-20699kW</w:t>
            </w:r>
          </w:p>
        </w:tc>
        <w:tc>
          <w:tcPr>
            <w:tcW w:w="1134" w:type="dxa"/>
            <w:tcBorders>
              <w:bottom w:val="single" w:sz="12" w:space="0" w:color="008000"/>
            </w:tcBorders>
            <w:shd w:val="clear" w:color="auto" w:fill="FFFFFF"/>
          </w:tcPr>
          <w:p w:rsidR="00C75D46" w:rsidRPr="005B177A" w:rsidRDefault="00FD59FF" w:rsidP="00013195">
            <w:pPr>
              <w:pStyle w:val="Ttulo2"/>
              <w:spacing w:before="0" w:line="240" w:lineRule="auto"/>
              <w:jc w:val="center"/>
              <w:rPr>
                <w:rFonts w:ascii="Arial" w:hAnsi="Arial" w:cs="Arial"/>
                <w:b w:val="0"/>
                <w:color w:val="000000"/>
                <w:sz w:val="18"/>
                <w:szCs w:val="18"/>
                <w:lang w:val="en-GB"/>
              </w:rPr>
            </w:pPr>
            <w:r>
              <w:rPr>
                <w:rFonts w:ascii="Arial" w:hAnsi="Arial" w:cs="Arial"/>
                <w:b w:val="0"/>
                <w:color w:val="000000"/>
                <w:sz w:val="18"/>
                <w:szCs w:val="18"/>
                <w:lang w:val="en-GB"/>
              </w:rPr>
              <w:t>117.</w:t>
            </w:r>
            <w:r w:rsidR="00EA2524">
              <w:rPr>
                <w:rFonts w:ascii="Arial" w:hAnsi="Arial" w:cs="Arial"/>
                <w:b w:val="0"/>
                <w:color w:val="000000"/>
                <w:sz w:val="18"/>
                <w:szCs w:val="18"/>
                <w:lang w:val="en-GB"/>
              </w:rPr>
              <w:t>84</w:t>
            </w:r>
            <w:r w:rsidR="00C75D46" w:rsidRPr="005B177A">
              <w:rPr>
                <w:rFonts w:ascii="Arial" w:hAnsi="Arial" w:cs="Arial"/>
                <w:b w:val="0"/>
                <w:color w:val="000000"/>
                <w:sz w:val="18"/>
                <w:szCs w:val="18"/>
                <w:lang w:val="en-GB"/>
              </w:rPr>
              <w:t xml:space="preserve"> mol/s</w:t>
            </w:r>
          </w:p>
        </w:tc>
        <w:tc>
          <w:tcPr>
            <w:tcW w:w="1134" w:type="dxa"/>
            <w:tcBorders>
              <w:bottom w:val="single" w:sz="12" w:space="0" w:color="008000"/>
            </w:tcBorders>
            <w:shd w:val="clear" w:color="auto" w:fill="FFFFFF"/>
          </w:tcPr>
          <w:p w:rsidR="00C75D46" w:rsidRPr="005B177A" w:rsidRDefault="00C75D46" w:rsidP="00013195">
            <w:pPr>
              <w:pStyle w:val="Ttulo2"/>
              <w:spacing w:before="0" w:line="240" w:lineRule="auto"/>
              <w:jc w:val="center"/>
              <w:rPr>
                <w:rFonts w:ascii="Arial" w:hAnsi="Arial" w:cs="Arial"/>
                <w:b w:val="0"/>
                <w:color w:val="000000"/>
                <w:sz w:val="18"/>
                <w:szCs w:val="18"/>
                <w:lang w:val="en-GB"/>
              </w:rPr>
            </w:pPr>
            <w:r w:rsidRPr="005B177A">
              <w:rPr>
                <w:rFonts w:ascii="Arial" w:hAnsi="Arial" w:cs="Arial"/>
                <w:b w:val="0"/>
                <w:color w:val="000000"/>
                <w:sz w:val="18"/>
                <w:szCs w:val="18"/>
                <w:lang w:val="en-GB"/>
              </w:rPr>
              <w:t>2kg/s</w:t>
            </w:r>
          </w:p>
        </w:tc>
        <w:tc>
          <w:tcPr>
            <w:tcW w:w="1417" w:type="dxa"/>
            <w:tcBorders>
              <w:bottom w:val="single" w:sz="12" w:space="0" w:color="008000"/>
            </w:tcBorders>
            <w:shd w:val="clear" w:color="auto" w:fill="FFFFFF"/>
          </w:tcPr>
          <w:p w:rsidR="00C75D46" w:rsidRPr="005B177A" w:rsidRDefault="00FD59FF" w:rsidP="00013195">
            <w:pPr>
              <w:pStyle w:val="Ttulo2"/>
              <w:spacing w:before="0" w:line="240" w:lineRule="auto"/>
              <w:jc w:val="center"/>
              <w:rPr>
                <w:rFonts w:ascii="Arial" w:hAnsi="Arial" w:cs="Arial"/>
                <w:b w:val="0"/>
                <w:color w:val="000000"/>
                <w:sz w:val="18"/>
                <w:szCs w:val="18"/>
                <w:lang w:val="en-GB"/>
              </w:rPr>
            </w:pPr>
            <w:r>
              <w:rPr>
                <w:rFonts w:ascii="Arial" w:hAnsi="Arial" w:cs="Arial"/>
                <w:color w:val="000000"/>
                <w:sz w:val="18"/>
                <w:szCs w:val="18"/>
                <w:lang w:val="en-GB"/>
              </w:rPr>
              <w:t>22332.</w:t>
            </w:r>
            <w:r w:rsidR="00C75D46" w:rsidRPr="005B177A">
              <w:rPr>
                <w:rFonts w:ascii="Arial" w:hAnsi="Arial" w:cs="Arial"/>
                <w:color w:val="000000"/>
                <w:sz w:val="18"/>
                <w:szCs w:val="18"/>
                <w:lang w:val="en-GB"/>
              </w:rPr>
              <w:t>9 kJ/kmol</w:t>
            </w:r>
          </w:p>
        </w:tc>
      </w:tr>
    </w:tbl>
    <w:p w:rsidR="00A5020A" w:rsidRPr="005B177A" w:rsidRDefault="007E27FD">
      <w:pPr>
        <w:pStyle w:val="normal0"/>
        <w:spacing w:before="120" w:after="120"/>
        <w:rPr>
          <w:lang w:val="en-GB"/>
        </w:rPr>
      </w:pPr>
      <w:r>
        <w:rPr>
          <w:lang w:val="en-GB"/>
        </w:rPr>
        <w:t xml:space="preserve">As shown in Tables 3 and 4, this </w:t>
      </w:r>
      <w:r w:rsidR="00A5020A" w:rsidRPr="005B177A">
        <w:rPr>
          <w:lang w:val="en-GB"/>
        </w:rPr>
        <w:t xml:space="preserve">process is </w:t>
      </w:r>
      <w:r w:rsidR="00B54934">
        <w:rPr>
          <w:lang w:val="en-GB"/>
        </w:rPr>
        <w:t>end</w:t>
      </w:r>
      <w:r w:rsidR="00A5020A" w:rsidRPr="005B177A">
        <w:rPr>
          <w:lang w:val="en-GB"/>
        </w:rPr>
        <w:t xml:space="preserve">othermic, which suggests that the chemical reactions between </w:t>
      </w:r>
      <w:r>
        <w:rPr>
          <w:lang w:val="en-GB"/>
        </w:rPr>
        <w:t>CH</w:t>
      </w:r>
      <w:r w:rsidRPr="007E27FD">
        <w:rPr>
          <w:vertAlign w:val="subscript"/>
          <w:lang w:val="en-GB"/>
        </w:rPr>
        <w:t>4</w:t>
      </w:r>
      <w:r>
        <w:rPr>
          <w:lang w:val="en-GB"/>
        </w:rPr>
        <w:t xml:space="preserve"> </w:t>
      </w:r>
      <w:r w:rsidR="00A5020A" w:rsidRPr="005B177A">
        <w:rPr>
          <w:lang w:val="en-GB"/>
        </w:rPr>
        <w:t xml:space="preserve">and </w:t>
      </w:r>
      <w:r>
        <w:rPr>
          <w:lang w:val="en-GB"/>
        </w:rPr>
        <w:t>H</w:t>
      </w:r>
      <w:r w:rsidRPr="007E27FD">
        <w:rPr>
          <w:vertAlign w:val="subscript"/>
          <w:lang w:val="en-GB"/>
        </w:rPr>
        <w:t>2</w:t>
      </w:r>
      <w:r>
        <w:rPr>
          <w:lang w:val="en-GB"/>
        </w:rPr>
        <w:t>O</w:t>
      </w:r>
      <w:r w:rsidR="00A5020A" w:rsidRPr="005B177A">
        <w:rPr>
          <w:lang w:val="en-GB"/>
        </w:rPr>
        <w:t xml:space="preserve"> involve the formation of energetic by-products. Possible answers include:</w:t>
      </w:r>
    </w:p>
    <w:p w:rsidR="00A5020A" w:rsidRPr="005B177A" w:rsidRDefault="00A2169F" w:rsidP="00A2169F">
      <w:pPr>
        <w:pStyle w:val="normal0"/>
        <w:spacing w:before="120" w:after="120"/>
        <w:rPr>
          <w:lang w:val="en-GB"/>
        </w:rPr>
      </w:pPr>
      <w:r>
        <w:rPr>
          <w:lang w:val="en-GB"/>
        </w:rPr>
        <w:t>Steam reforming</w:t>
      </w:r>
      <w:r w:rsidR="00A60666">
        <w:rPr>
          <w:lang w:val="en-GB"/>
        </w:rPr>
        <w:t xml:space="preserve"> (endothermic):</w:t>
      </w:r>
    </w:p>
    <w:tbl>
      <w:tblPr>
        <w:tblW w:w="8787" w:type="dxa"/>
        <w:tblLayout w:type="fixed"/>
        <w:tblCellMar>
          <w:left w:w="115" w:type="dxa"/>
          <w:right w:w="115" w:type="dxa"/>
        </w:tblCellMar>
        <w:tblLook w:val="0000"/>
      </w:tblPr>
      <w:tblGrid>
        <w:gridCol w:w="7981"/>
        <w:gridCol w:w="806"/>
      </w:tblGrid>
      <w:tr w:rsidR="00A5020A" w:rsidRPr="005B177A" w:rsidTr="00013195">
        <w:tc>
          <w:tcPr>
            <w:tcW w:w="7981" w:type="dxa"/>
            <w:vAlign w:val="center"/>
          </w:tcPr>
          <w:p w:rsidR="00A5020A" w:rsidRPr="005B177A" w:rsidRDefault="00A5020A" w:rsidP="005B1500">
            <w:pPr>
              <w:pStyle w:val="normal0"/>
              <w:spacing w:before="120" w:after="120"/>
              <w:jc w:val="left"/>
              <w:rPr>
                <w:color w:val="000000"/>
                <w:lang w:val="en-GB"/>
              </w:rPr>
            </w:pPr>
            <w:r w:rsidRPr="005B177A">
              <w:rPr>
                <w:color w:val="000000"/>
                <w:lang w:val="en-GB"/>
              </w:rPr>
              <w:t>CH</w:t>
            </w:r>
            <w:r w:rsidRPr="005B177A">
              <w:rPr>
                <w:color w:val="000000"/>
                <w:vertAlign w:val="subscript"/>
                <w:lang w:val="en-GB"/>
              </w:rPr>
              <w:t>4</w:t>
            </w:r>
            <w:r w:rsidR="007E27FD">
              <w:rPr>
                <w:color w:val="000000"/>
                <w:vertAlign w:val="subscript"/>
                <w:lang w:val="en-GB"/>
              </w:rPr>
              <w:t xml:space="preserve"> </w:t>
            </w:r>
            <w:r w:rsidRPr="005B177A">
              <w:rPr>
                <w:color w:val="000000"/>
                <w:lang w:val="en-GB"/>
              </w:rPr>
              <w:t>+</w:t>
            </w:r>
            <w:r w:rsidR="007E27FD">
              <w:rPr>
                <w:color w:val="000000"/>
                <w:lang w:val="en-GB"/>
              </w:rPr>
              <w:t xml:space="preserve"> </w:t>
            </w:r>
            <w:r w:rsidR="005B1500">
              <w:rPr>
                <w:color w:val="000000"/>
                <w:lang w:val="en-GB"/>
              </w:rPr>
              <w:t>H</w:t>
            </w:r>
            <w:r w:rsidRPr="005B177A">
              <w:rPr>
                <w:color w:val="000000"/>
                <w:vertAlign w:val="subscript"/>
                <w:lang w:val="en-GB"/>
              </w:rPr>
              <w:t>2</w:t>
            </w:r>
            <w:r w:rsidRPr="005B177A">
              <w:rPr>
                <w:color w:val="000000"/>
                <w:lang w:val="en-GB"/>
              </w:rPr>
              <w:t>O</w:t>
            </w:r>
            <w:r w:rsidR="007E27FD">
              <w:rPr>
                <w:color w:val="000000"/>
                <w:lang w:val="en-GB"/>
              </w:rPr>
              <w:t xml:space="preserve"> </w:t>
            </w:r>
            <w:r w:rsidRPr="005B177A">
              <w:rPr>
                <w:color w:val="000000"/>
                <w:lang w:val="en-GB"/>
              </w:rPr>
              <w:t>→</w:t>
            </w:r>
            <w:r w:rsidR="007E27FD">
              <w:rPr>
                <w:color w:val="000000"/>
                <w:lang w:val="en-GB"/>
              </w:rPr>
              <w:t xml:space="preserve"> </w:t>
            </w:r>
            <w:r w:rsidRPr="005B177A">
              <w:rPr>
                <w:color w:val="000000"/>
                <w:lang w:val="en-GB"/>
              </w:rPr>
              <w:t>CO</w:t>
            </w:r>
            <w:r w:rsidR="007E27FD">
              <w:rPr>
                <w:color w:val="000000"/>
                <w:lang w:val="en-GB"/>
              </w:rPr>
              <w:t xml:space="preserve"> </w:t>
            </w:r>
            <w:r w:rsidRPr="005B177A">
              <w:rPr>
                <w:color w:val="000000"/>
                <w:lang w:val="en-GB"/>
              </w:rPr>
              <w:t>+</w:t>
            </w:r>
            <w:r w:rsidR="007E27FD">
              <w:rPr>
                <w:color w:val="000000"/>
                <w:lang w:val="en-GB"/>
              </w:rPr>
              <w:t xml:space="preserve"> </w:t>
            </w:r>
            <w:r w:rsidRPr="005B177A">
              <w:rPr>
                <w:color w:val="000000"/>
                <w:lang w:val="en-GB"/>
              </w:rPr>
              <w:t>3</w:t>
            </w:r>
            <w:r w:rsidR="00131259">
              <w:rPr>
                <w:color w:val="000000"/>
                <w:lang w:val="en-GB"/>
              </w:rPr>
              <w:t xml:space="preserve"> </w:t>
            </w:r>
            <w:r w:rsidRPr="005B177A">
              <w:rPr>
                <w:color w:val="000000"/>
                <w:lang w:val="en-GB"/>
              </w:rPr>
              <w:t>H</w:t>
            </w:r>
            <w:r w:rsidRPr="005B177A">
              <w:rPr>
                <w:color w:val="000000"/>
                <w:vertAlign w:val="subscript"/>
                <w:lang w:val="en-GB"/>
              </w:rPr>
              <w:t>2</w:t>
            </w:r>
          </w:p>
        </w:tc>
        <w:tc>
          <w:tcPr>
            <w:tcW w:w="806" w:type="dxa"/>
            <w:vAlign w:val="center"/>
          </w:tcPr>
          <w:p w:rsidR="00A5020A" w:rsidRPr="005B177A" w:rsidRDefault="00692DB1" w:rsidP="00013195">
            <w:pPr>
              <w:pStyle w:val="normal0"/>
              <w:spacing w:before="120" w:after="120"/>
              <w:jc w:val="right"/>
              <w:rPr>
                <w:color w:val="000000"/>
                <w:lang w:val="en-GB"/>
              </w:rPr>
            </w:pPr>
            <w:r>
              <w:rPr>
                <w:color w:val="000000"/>
                <w:lang w:val="en-GB"/>
              </w:rPr>
              <w:t>(17</w:t>
            </w:r>
            <w:r w:rsidR="00A5020A" w:rsidRPr="005B177A">
              <w:rPr>
                <w:color w:val="000000"/>
                <w:lang w:val="en-GB"/>
              </w:rPr>
              <w:t>)</w:t>
            </w:r>
          </w:p>
        </w:tc>
      </w:tr>
    </w:tbl>
    <w:p w:rsidR="00A5020A" w:rsidRPr="005B177A" w:rsidRDefault="00A5020A">
      <w:pPr>
        <w:pStyle w:val="normal0"/>
        <w:spacing w:after="120"/>
        <w:rPr>
          <w:lang w:val="en-GB"/>
        </w:rPr>
      </w:pPr>
      <w:r w:rsidRPr="005B177A">
        <w:rPr>
          <w:lang w:val="en-GB"/>
        </w:rPr>
        <w:t xml:space="preserve">The reforming event is endothermic, but the overall </w:t>
      </w:r>
      <w:r w:rsidR="00B11A86">
        <w:rPr>
          <w:lang w:val="en-GB"/>
        </w:rPr>
        <w:t>process</w:t>
      </w:r>
      <w:r w:rsidRPr="005B177A">
        <w:rPr>
          <w:lang w:val="en-GB"/>
        </w:rPr>
        <w:t xml:space="preserve"> can be exoth</w:t>
      </w:r>
      <w:r w:rsidR="00131259">
        <w:rPr>
          <w:lang w:val="en-GB"/>
        </w:rPr>
        <w:t>ermic due to other interactions.</w:t>
      </w:r>
    </w:p>
    <w:p w:rsidR="00A5020A" w:rsidRPr="005B177A" w:rsidRDefault="00A5020A" w:rsidP="00EC424C">
      <w:pPr>
        <w:pStyle w:val="normal0"/>
        <w:spacing w:before="240" w:after="120"/>
        <w:rPr>
          <w:b/>
          <w:lang w:val="en-GB"/>
        </w:rPr>
      </w:pPr>
      <w:r w:rsidRPr="005B177A">
        <w:rPr>
          <w:lang w:val="en-GB"/>
        </w:rPr>
        <w:t>Gas-water disp</w:t>
      </w:r>
      <w:r w:rsidR="00A2169F">
        <w:rPr>
          <w:lang w:val="en-GB"/>
        </w:rPr>
        <w:t>lacement reaction (exothermic):</w:t>
      </w:r>
    </w:p>
    <w:tbl>
      <w:tblPr>
        <w:tblW w:w="8787" w:type="dxa"/>
        <w:tblLayout w:type="fixed"/>
        <w:tblCellMar>
          <w:left w:w="115" w:type="dxa"/>
          <w:right w:w="115" w:type="dxa"/>
        </w:tblCellMar>
        <w:tblLook w:val="0000"/>
      </w:tblPr>
      <w:tblGrid>
        <w:gridCol w:w="7981"/>
        <w:gridCol w:w="806"/>
      </w:tblGrid>
      <w:tr w:rsidR="00A5020A" w:rsidRPr="005B177A" w:rsidTr="00013195">
        <w:tc>
          <w:tcPr>
            <w:tcW w:w="7981" w:type="dxa"/>
            <w:vAlign w:val="center"/>
          </w:tcPr>
          <w:p w:rsidR="00A5020A" w:rsidRPr="005B177A" w:rsidRDefault="00A5020A" w:rsidP="00EC424C">
            <w:pPr>
              <w:pStyle w:val="normal0"/>
              <w:jc w:val="left"/>
              <w:rPr>
                <w:color w:val="000000"/>
                <w:lang w:val="en-GB"/>
              </w:rPr>
            </w:pPr>
            <w:r w:rsidRPr="005B177A">
              <w:rPr>
                <w:color w:val="000000"/>
                <w:lang w:val="en-GB"/>
              </w:rPr>
              <w:t>CO</w:t>
            </w:r>
            <w:r w:rsidR="009609F3">
              <w:rPr>
                <w:color w:val="000000"/>
                <w:lang w:val="en-GB"/>
              </w:rPr>
              <w:t xml:space="preserve"> </w:t>
            </w:r>
            <w:r w:rsidRPr="005B177A">
              <w:rPr>
                <w:color w:val="000000"/>
                <w:lang w:val="en-GB"/>
              </w:rPr>
              <w:t>+</w:t>
            </w:r>
            <w:r w:rsidR="009609F3">
              <w:rPr>
                <w:color w:val="000000"/>
                <w:lang w:val="en-GB"/>
              </w:rPr>
              <w:t xml:space="preserve"> </w:t>
            </w:r>
            <w:r w:rsidR="00D8757A">
              <w:rPr>
                <w:color w:val="000000"/>
                <w:lang w:val="en-GB"/>
              </w:rPr>
              <w:t>H</w:t>
            </w:r>
            <w:r w:rsidRPr="005B177A">
              <w:rPr>
                <w:color w:val="000000"/>
                <w:vertAlign w:val="subscript"/>
                <w:lang w:val="en-GB"/>
              </w:rPr>
              <w:t>2</w:t>
            </w:r>
            <w:r w:rsidRPr="005B177A">
              <w:rPr>
                <w:color w:val="000000"/>
                <w:lang w:val="en-GB"/>
              </w:rPr>
              <w:t>O</w:t>
            </w:r>
            <w:r w:rsidR="009609F3">
              <w:rPr>
                <w:color w:val="000000"/>
                <w:lang w:val="en-GB"/>
              </w:rPr>
              <w:t xml:space="preserve"> </w:t>
            </w:r>
            <w:r w:rsidRPr="005B177A">
              <w:rPr>
                <w:color w:val="000000"/>
                <w:lang w:val="en-GB"/>
              </w:rPr>
              <w:t>→</w:t>
            </w:r>
            <w:r w:rsidR="009609F3">
              <w:rPr>
                <w:color w:val="000000"/>
                <w:lang w:val="en-GB"/>
              </w:rPr>
              <w:t xml:space="preserve"> </w:t>
            </w:r>
            <w:r w:rsidRPr="005B177A">
              <w:rPr>
                <w:color w:val="000000"/>
                <w:lang w:val="en-GB"/>
              </w:rPr>
              <w:t>CO</w:t>
            </w:r>
            <w:r w:rsidRPr="005B177A">
              <w:rPr>
                <w:color w:val="000000"/>
                <w:vertAlign w:val="subscript"/>
                <w:lang w:val="en-GB"/>
              </w:rPr>
              <w:t>2</w:t>
            </w:r>
            <w:r w:rsidR="009609F3">
              <w:rPr>
                <w:color w:val="000000"/>
                <w:vertAlign w:val="subscript"/>
                <w:lang w:val="en-GB"/>
              </w:rPr>
              <w:t xml:space="preserve"> </w:t>
            </w:r>
            <w:r w:rsidRPr="005B177A">
              <w:rPr>
                <w:color w:val="000000"/>
                <w:lang w:val="en-GB"/>
              </w:rPr>
              <w:t>+</w:t>
            </w:r>
            <w:r w:rsidR="009609F3">
              <w:rPr>
                <w:color w:val="000000"/>
                <w:lang w:val="en-GB"/>
              </w:rPr>
              <w:t xml:space="preserve"> </w:t>
            </w:r>
            <w:r w:rsidR="00EC424C">
              <w:rPr>
                <w:color w:val="000000"/>
                <w:lang w:val="en-GB"/>
              </w:rPr>
              <w:t>H</w:t>
            </w:r>
            <w:r w:rsidRPr="00D8757A">
              <w:rPr>
                <w:color w:val="000000"/>
                <w:vertAlign w:val="subscript"/>
                <w:lang w:val="en-GB"/>
              </w:rPr>
              <w:t>2</w:t>
            </w:r>
          </w:p>
        </w:tc>
        <w:tc>
          <w:tcPr>
            <w:tcW w:w="806" w:type="dxa"/>
            <w:vAlign w:val="center"/>
          </w:tcPr>
          <w:p w:rsidR="00A5020A" w:rsidRPr="005B177A" w:rsidRDefault="00692DB1" w:rsidP="00013195">
            <w:pPr>
              <w:pStyle w:val="normal0"/>
              <w:spacing w:before="120" w:after="120"/>
              <w:jc w:val="right"/>
              <w:rPr>
                <w:color w:val="000000"/>
                <w:lang w:val="en-GB"/>
              </w:rPr>
            </w:pPr>
            <w:r>
              <w:rPr>
                <w:color w:val="000000"/>
                <w:lang w:val="en-GB"/>
              </w:rPr>
              <w:t>(18</w:t>
            </w:r>
            <w:r w:rsidR="00A5020A" w:rsidRPr="005B177A">
              <w:rPr>
                <w:color w:val="000000"/>
                <w:lang w:val="en-GB"/>
              </w:rPr>
              <w:t>)</w:t>
            </w:r>
          </w:p>
        </w:tc>
      </w:tr>
    </w:tbl>
    <w:p w:rsidR="00275616" w:rsidRPr="00275616" w:rsidRDefault="00275616">
      <w:pPr>
        <w:pStyle w:val="normal0"/>
        <w:spacing w:before="120" w:after="120"/>
        <w:rPr>
          <w:lang w:val="en-GB"/>
        </w:rPr>
      </w:pPr>
      <w:r w:rsidRPr="00275616">
        <w:rPr>
          <w:lang w:val="en-GB"/>
        </w:rPr>
        <w:t>The</w:t>
      </w:r>
      <w:r>
        <w:rPr>
          <w:lang w:val="en-GB"/>
        </w:rPr>
        <w:t xml:space="preserve"> following observations can </w:t>
      </w:r>
      <w:r w:rsidR="00B11A86">
        <w:rPr>
          <w:lang w:val="en-GB"/>
        </w:rPr>
        <w:t xml:space="preserve">also </w:t>
      </w:r>
      <w:r>
        <w:rPr>
          <w:lang w:val="en-GB"/>
        </w:rPr>
        <w:t>be made</w:t>
      </w:r>
      <w:r w:rsidR="001D72BB">
        <w:rPr>
          <w:lang w:val="en-GB"/>
        </w:rPr>
        <w:t>, at the end of the overall process</w:t>
      </w:r>
      <w:r>
        <w:rPr>
          <w:lang w:val="en-GB"/>
        </w:rPr>
        <w:t>:</w:t>
      </w:r>
    </w:p>
    <w:p w:rsidR="00A5020A" w:rsidRPr="005B177A" w:rsidRDefault="00A5020A">
      <w:pPr>
        <w:pStyle w:val="normal0"/>
        <w:spacing w:before="120" w:after="120"/>
        <w:rPr>
          <w:b/>
          <w:lang w:val="en-GB"/>
        </w:rPr>
      </w:pPr>
      <w:r w:rsidRPr="005B177A">
        <w:rPr>
          <w:b/>
          <w:lang w:val="en-GB"/>
        </w:rPr>
        <w:t>Product Phase</w:t>
      </w:r>
    </w:p>
    <w:p w:rsidR="00A5020A" w:rsidRPr="005B177A" w:rsidRDefault="00A5020A" w:rsidP="003C4525">
      <w:pPr>
        <w:pStyle w:val="normal0"/>
        <w:numPr>
          <w:ilvl w:val="0"/>
          <w:numId w:val="2"/>
        </w:numPr>
        <w:tabs>
          <w:tab w:val="clear" w:pos="7100"/>
        </w:tabs>
        <w:spacing w:before="120" w:after="120" w:line="240" w:lineRule="auto"/>
        <w:rPr>
          <w:lang w:val="en-GB"/>
        </w:rPr>
      </w:pPr>
      <w:r w:rsidRPr="005B177A">
        <w:rPr>
          <w:lang w:val="en-GB"/>
        </w:rPr>
        <w:t>Approximately half of the products are in the vapo</w:t>
      </w:r>
      <w:r w:rsidR="004E2E1C">
        <w:rPr>
          <w:lang w:val="en-GB"/>
        </w:rPr>
        <w:t>u</w:t>
      </w:r>
      <w:r w:rsidRPr="005B177A">
        <w:rPr>
          <w:lang w:val="en-GB"/>
        </w:rPr>
        <w:t>r phase, while the rest remain in the liquid phase.</w:t>
      </w:r>
    </w:p>
    <w:p w:rsidR="00A5020A" w:rsidRPr="005B177A" w:rsidRDefault="00A5020A" w:rsidP="003C4525">
      <w:pPr>
        <w:pStyle w:val="normal0"/>
        <w:numPr>
          <w:ilvl w:val="0"/>
          <w:numId w:val="2"/>
        </w:numPr>
        <w:tabs>
          <w:tab w:val="clear" w:pos="7100"/>
        </w:tabs>
        <w:spacing w:before="120" w:after="120" w:line="240" w:lineRule="auto"/>
        <w:rPr>
          <w:lang w:val="en-GB"/>
        </w:rPr>
      </w:pPr>
      <w:r w:rsidRPr="005B177A">
        <w:rPr>
          <w:lang w:val="en-GB"/>
        </w:rPr>
        <w:t>The presence of the liquid phase can be attributed to excess (unconverted) water or to the partial condensation of water vapo</w:t>
      </w:r>
      <w:r w:rsidR="00FA28AC">
        <w:rPr>
          <w:lang w:val="en-GB"/>
        </w:rPr>
        <w:t>u</w:t>
      </w:r>
      <w:r w:rsidRPr="005B177A">
        <w:rPr>
          <w:lang w:val="en-GB"/>
        </w:rPr>
        <w:t xml:space="preserve">r under </w:t>
      </w:r>
      <w:r w:rsidR="002B1230">
        <w:rPr>
          <w:lang w:val="en-GB"/>
        </w:rPr>
        <w:t>reference</w:t>
      </w:r>
      <w:r w:rsidRPr="005B177A">
        <w:rPr>
          <w:lang w:val="en-GB"/>
        </w:rPr>
        <w:t xml:space="preserve"> conditions (</w:t>
      </w:r>
      <w:r w:rsidR="00FA28AC">
        <w:rPr>
          <w:lang w:val="en-GB"/>
        </w:rPr>
        <w:t>25°C, 1atm) at the end of the process.</w:t>
      </w:r>
    </w:p>
    <w:p w:rsidR="00A5020A" w:rsidRPr="005B177A" w:rsidRDefault="00A5020A" w:rsidP="003C4525">
      <w:pPr>
        <w:pStyle w:val="normal0"/>
        <w:numPr>
          <w:ilvl w:val="0"/>
          <w:numId w:val="2"/>
        </w:numPr>
        <w:tabs>
          <w:tab w:val="clear" w:pos="7100"/>
          <w:tab w:val="right" w:pos="720"/>
        </w:tabs>
        <w:spacing w:before="120" w:after="120" w:line="240" w:lineRule="auto"/>
        <w:rPr>
          <w:lang w:val="en-GB"/>
        </w:rPr>
      </w:pPr>
      <w:r w:rsidRPr="005B177A">
        <w:rPr>
          <w:lang w:val="en-GB"/>
        </w:rPr>
        <w:t>Components in the vapo</w:t>
      </w:r>
      <w:r w:rsidR="00AD6489">
        <w:rPr>
          <w:lang w:val="en-GB"/>
        </w:rPr>
        <w:t>u</w:t>
      </w:r>
      <w:r w:rsidRPr="005B177A">
        <w:rPr>
          <w:lang w:val="en-GB"/>
        </w:rPr>
        <w:t xml:space="preserve">r phase predominantly include </w:t>
      </w:r>
      <w:r w:rsidR="00AD6489">
        <w:rPr>
          <w:lang w:val="en-GB"/>
        </w:rPr>
        <w:t>H</w:t>
      </w:r>
      <w:r w:rsidR="00AD6489" w:rsidRPr="00AD6489">
        <w:rPr>
          <w:vertAlign w:val="subscript"/>
          <w:lang w:val="en-GB"/>
        </w:rPr>
        <w:t>2</w:t>
      </w:r>
      <w:r w:rsidR="00AD6489">
        <w:rPr>
          <w:lang w:val="en-GB"/>
        </w:rPr>
        <w:t xml:space="preserve">, </w:t>
      </w:r>
      <w:r w:rsidRPr="005B177A">
        <w:rPr>
          <w:lang w:val="en-GB"/>
        </w:rPr>
        <w:t>CO, and possibly residual</w:t>
      </w:r>
      <w:r w:rsidR="00AD6489">
        <w:rPr>
          <w:lang w:val="en-GB"/>
        </w:rPr>
        <w:t xml:space="preserve"> CH</w:t>
      </w:r>
      <w:r w:rsidR="00AD6489" w:rsidRPr="00AD6489">
        <w:rPr>
          <w:vertAlign w:val="subscript"/>
          <w:lang w:val="en-GB"/>
        </w:rPr>
        <w:t>4</w:t>
      </w:r>
      <w:r w:rsidRPr="005B177A">
        <w:rPr>
          <w:lang w:val="en-GB"/>
        </w:rPr>
        <w:t>. In the liquid phase, water dominates.</w:t>
      </w:r>
    </w:p>
    <w:p w:rsidR="00A5020A" w:rsidRPr="005B177A" w:rsidRDefault="00A5020A">
      <w:pPr>
        <w:pStyle w:val="normal0"/>
        <w:spacing w:before="120" w:after="120"/>
        <w:rPr>
          <w:b/>
          <w:lang w:val="en-GB"/>
        </w:rPr>
      </w:pPr>
      <w:r w:rsidRPr="005B177A">
        <w:rPr>
          <w:b/>
          <w:lang w:val="en-GB"/>
        </w:rPr>
        <w:lastRenderedPageBreak/>
        <w:t>Physical flows</w:t>
      </w:r>
    </w:p>
    <w:p w:rsidR="00A5020A" w:rsidRPr="005B177A" w:rsidRDefault="00A5020A" w:rsidP="003C4525">
      <w:pPr>
        <w:pStyle w:val="normal0"/>
        <w:numPr>
          <w:ilvl w:val="0"/>
          <w:numId w:val="3"/>
        </w:numPr>
        <w:tabs>
          <w:tab w:val="clear" w:pos="7100"/>
        </w:tabs>
        <w:spacing w:before="120" w:after="120" w:line="240" w:lineRule="auto"/>
        <w:rPr>
          <w:lang w:val="en-GB"/>
        </w:rPr>
      </w:pPr>
      <w:r w:rsidRPr="005B177A">
        <w:rPr>
          <w:lang w:val="en-GB"/>
        </w:rPr>
        <w:t xml:space="preserve">The </w:t>
      </w:r>
      <w:r w:rsidR="002E39FA">
        <w:rPr>
          <w:lang w:val="en-GB"/>
        </w:rPr>
        <w:t xml:space="preserve">molar </w:t>
      </w:r>
      <w:r w:rsidRPr="005B177A">
        <w:rPr>
          <w:lang w:val="en-GB"/>
        </w:rPr>
        <w:t>amount of products is significantly greater than the input of reactants, suggesting the formation of multiple molecules of gaseous products, such as</w:t>
      </w:r>
      <w:r w:rsidR="00051B8B">
        <w:rPr>
          <w:lang w:val="en-GB"/>
        </w:rPr>
        <w:t xml:space="preserve"> H</w:t>
      </w:r>
      <w:r w:rsidR="00051B8B" w:rsidRPr="00051B8B">
        <w:rPr>
          <w:vertAlign w:val="subscript"/>
          <w:lang w:val="en-GB"/>
        </w:rPr>
        <w:t>2</w:t>
      </w:r>
      <w:r w:rsidRPr="005B177A">
        <w:rPr>
          <w:lang w:val="en-GB"/>
        </w:rPr>
        <w:t>.</w:t>
      </w:r>
    </w:p>
    <w:p w:rsidR="00A5020A" w:rsidRPr="005B177A" w:rsidRDefault="00A5020A" w:rsidP="003C4525">
      <w:pPr>
        <w:pStyle w:val="normal0"/>
        <w:numPr>
          <w:ilvl w:val="0"/>
          <w:numId w:val="3"/>
        </w:numPr>
        <w:tabs>
          <w:tab w:val="clear" w:pos="7100"/>
        </w:tabs>
        <w:spacing w:before="120" w:after="120" w:line="240" w:lineRule="auto"/>
        <w:rPr>
          <w:lang w:val="en-GB"/>
        </w:rPr>
      </w:pPr>
      <w:r w:rsidRPr="005B177A">
        <w:rPr>
          <w:lang w:val="en-GB"/>
        </w:rPr>
        <w:t xml:space="preserve">Volumetric expansion is associated with the production of gases, such as </w:t>
      </w:r>
      <w:r w:rsidR="00051B8B">
        <w:rPr>
          <w:lang w:val="en-GB"/>
        </w:rPr>
        <w:t>H</w:t>
      </w:r>
      <w:r w:rsidR="00051B8B" w:rsidRPr="00051B8B">
        <w:rPr>
          <w:vertAlign w:val="subscript"/>
          <w:lang w:val="en-GB"/>
        </w:rPr>
        <w:t>2</w:t>
      </w:r>
      <w:r w:rsidRPr="005B177A">
        <w:rPr>
          <w:lang w:val="en-GB"/>
        </w:rPr>
        <w:t>, which occupy a larger volume than liquids.</w:t>
      </w:r>
    </w:p>
    <w:p w:rsidR="00A5020A" w:rsidRPr="005B177A" w:rsidRDefault="00E273C2">
      <w:pPr>
        <w:pStyle w:val="normal0"/>
        <w:spacing w:before="120" w:after="120"/>
        <w:rPr>
          <w:b/>
          <w:lang w:val="en-GB"/>
        </w:rPr>
      </w:pPr>
      <w:r>
        <w:rPr>
          <w:b/>
          <w:lang w:val="en-GB"/>
        </w:rPr>
        <w:t>Enthalpy variation</w:t>
      </w:r>
    </w:p>
    <w:p w:rsidR="00A5020A" w:rsidRPr="005B177A" w:rsidRDefault="00A5020A" w:rsidP="003C4525">
      <w:pPr>
        <w:pStyle w:val="normal0"/>
        <w:numPr>
          <w:ilvl w:val="0"/>
          <w:numId w:val="4"/>
        </w:numPr>
        <w:tabs>
          <w:tab w:val="clear" w:pos="7100"/>
        </w:tabs>
        <w:spacing w:before="120" w:after="120" w:line="240" w:lineRule="auto"/>
        <w:rPr>
          <w:lang w:val="en-GB"/>
        </w:rPr>
      </w:pPr>
      <w:r w:rsidRPr="005B177A">
        <w:rPr>
          <w:lang w:val="en-GB"/>
        </w:rPr>
        <w:t>A negative value indicates an exothermic system. This is in line with the energy released in secondary reactions, such as the gas-water displacement reaction.</w:t>
      </w:r>
    </w:p>
    <w:p w:rsidR="00A5020A" w:rsidRPr="005B177A" w:rsidRDefault="00A5020A">
      <w:pPr>
        <w:pStyle w:val="normal0"/>
        <w:spacing w:before="120" w:after="120"/>
        <w:rPr>
          <w:lang w:val="en-GB"/>
        </w:rPr>
      </w:pPr>
      <w:r w:rsidRPr="005B177A">
        <w:rPr>
          <w:lang w:val="en-GB"/>
        </w:rPr>
        <w:t xml:space="preserve">The results are in line with advanced studies on methane reforming and </w:t>
      </w:r>
      <w:r w:rsidR="00DD160F">
        <w:rPr>
          <w:lang w:val="en-GB"/>
        </w:rPr>
        <w:t>CO</w:t>
      </w:r>
      <w:r w:rsidR="00DD160F" w:rsidRPr="00DD160F">
        <w:rPr>
          <w:vertAlign w:val="subscript"/>
          <w:lang w:val="en-GB"/>
        </w:rPr>
        <w:t>2</w:t>
      </w:r>
      <w:r w:rsidR="00DD160F">
        <w:rPr>
          <w:lang w:val="en-GB"/>
        </w:rPr>
        <w:t xml:space="preserve"> </w:t>
      </w:r>
      <w:r w:rsidRPr="005B177A">
        <w:rPr>
          <w:lang w:val="en-GB"/>
        </w:rPr>
        <w:t>capture. Aasberg-Petersen et al. (2003) highlighted that autothermal reforming improves energy efficiency. Adhikari et al. (2007) demonstrated that the combination of reformers and displacement reactions improves the conversion of CO to</w:t>
      </w:r>
      <w:r w:rsidR="00E273C2">
        <w:rPr>
          <w:lang w:val="en-GB"/>
        </w:rPr>
        <w:t xml:space="preserve"> H</w:t>
      </w:r>
      <w:r w:rsidR="00E273C2" w:rsidRPr="00E273C2">
        <w:rPr>
          <w:vertAlign w:val="subscript"/>
          <w:lang w:val="en-GB"/>
        </w:rPr>
        <w:t>2</w:t>
      </w:r>
      <w:r w:rsidR="00A71F3A">
        <w:rPr>
          <w:lang w:val="en-GB"/>
        </w:rPr>
        <w:t>.</w:t>
      </w:r>
    </w:p>
    <w:p w:rsidR="00A5020A" w:rsidRPr="005B177A" w:rsidRDefault="00A5020A" w:rsidP="00DC2280">
      <w:pPr>
        <w:pStyle w:val="normal0"/>
        <w:spacing w:before="240" w:after="120"/>
        <w:rPr>
          <w:b/>
          <w:sz w:val="20"/>
          <w:szCs w:val="20"/>
          <w:lang w:val="en-GB"/>
        </w:rPr>
      </w:pPr>
      <w:r w:rsidRPr="005B177A">
        <w:rPr>
          <w:b/>
          <w:sz w:val="20"/>
          <w:szCs w:val="20"/>
          <w:lang w:val="en-GB"/>
        </w:rPr>
        <w:t>6. Conclusions</w:t>
      </w:r>
    </w:p>
    <w:p w:rsidR="00BA4A05" w:rsidRDefault="00A71F3A">
      <w:pPr>
        <w:pStyle w:val="normal0"/>
        <w:spacing w:before="120" w:after="120"/>
        <w:rPr>
          <w:lang w:val="en-GB"/>
        </w:rPr>
      </w:pPr>
      <w:r>
        <w:rPr>
          <w:lang w:val="en-GB"/>
        </w:rPr>
        <w:t>This study contributes with optimized</w:t>
      </w:r>
      <w:r w:rsidRPr="005B177A">
        <w:rPr>
          <w:lang w:val="en-GB"/>
        </w:rPr>
        <w:t xml:space="preserve"> strategies for urea </w:t>
      </w:r>
      <w:r>
        <w:rPr>
          <w:lang w:val="en-GB"/>
        </w:rPr>
        <w:t>and H</w:t>
      </w:r>
      <w:r w:rsidRPr="00E273C2">
        <w:rPr>
          <w:vertAlign w:val="subscript"/>
          <w:lang w:val="en-GB"/>
        </w:rPr>
        <w:t>2</w:t>
      </w:r>
      <w:r>
        <w:rPr>
          <w:lang w:val="en-GB"/>
        </w:rPr>
        <w:t xml:space="preserve"> </w:t>
      </w:r>
      <w:r w:rsidRPr="005B177A">
        <w:rPr>
          <w:lang w:val="en-GB"/>
        </w:rPr>
        <w:t>production</w:t>
      </w:r>
      <w:r w:rsidR="002649FF">
        <w:rPr>
          <w:lang w:val="en-GB"/>
        </w:rPr>
        <w:t xml:space="preserve"> from methane</w:t>
      </w:r>
      <w:r>
        <w:rPr>
          <w:lang w:val="en-GB"/>
        </w:rPr>
        <w:t>, as a case study, while avoiding CO</w:t>
      </w:r>
      <w:r w:rsidRPr="00E273C2">
        <w:rPr>
          <w:vertAlign w:val="subscript"/>
          <w:lang w:val="en-GB"/>
        </w:rPr>
        <w:t>2</w:t>
      </w:r>
      <w:r>
        <w:rPr>
          <w:lang w:val="en-GB"/>
        </w:rPr>
        <w:t xml:space="preserve"> release</w:t>
      </w:r>
      <w:r w:rsidRPr="005B177A">
        <w:rPr>
          <w:lang w:val="en-GB"/>
        </w:rPr>
        <w:t>.</w:t>
      </w:r>
      <w:r>
        <w:rPr>
          <w:lang w:val="en-GB"/>
        </w:rPr>
        <w:t xml:space="preserve"> </w:t>
      </w:r>
      <w:r w:rsidR="00BA4A05">
        <w:rPr>
          <w:lang w:val="en-GB"/>
        </w:rPr>
        <w:t>Based on a list of possible products and raw materials, with the goal of a global process that is exothermic and produces a valuable product and hydrogen, without releasing carbon dioxide, the product chosen was urea and hydrogen, using methane, water and air (</w:t>
      </w:r>
      <w:r w:rsidR="00F55F87">
        <w:rPr>
          <w:lang w:val="en-GB"/>
        </w:rPr>
        <w:t>N</w:t>
      </w:r>
      <w:r w:rsidR="00F55F87" w:rsidRPr="00F55F87">
        <w:rPr>
          <w:vertAlign w:val="subscript"/>
          <w:lang w:val="en-GB"/>
        </w:rPr>
        <w:t>2</w:t>
      </w:r>
      <w:r w:rsidR="00BA4A05">
        <w:rPr>
          <w:lang w:val="en-GB"/>
        </w:rPr>
        <w:t xml:space="preserve"> and </w:t>
      </w:r>
      <w:r w:rsidR="00F55F87">
        <w:rPr>
          <w:lang w:val="en-GB"/>
        </w:rPr>
        <w:t>O</w:t>
      </w:r>
      <w:r w:rsidR="00F55F87" w:rsidRPr="00F55F87">
        <w:rPr>
          <w:vertAlign w:val="subscript"/>
          <w:lang w:val="en-GB"/>
        </w:rPr>
        <w:t>2</w:t>
      </w:r>
      <w:r w:rsidR="00BA4A05">
        <w:rPr>
          <w:lang w:val="en-GB"/>
        </w:rPr>
        <w:t>)</w:t>
      </w:r>
      <w:r w:rsidR="00F55F87">
        <w:rPr>
          <w:lang w:val="en-GB"/>
        </w:rPr>
        <w:t xml:space="preserve"> as reactants</w:t>
      </w:r>
      <w:r w:rsidR="002F215D">
        <w:rPr>
          <w:lang w:val="en-GB"/>
        </w:rPr>
        <w:t>.</w:t>
      </w:r>
      <w:r w:rsidR="002F215D" w:rsidRPr="002F215D">
        <w:rPr>
          <w:lang w:val="en-GB"/>
        </w:rPr>
        <w:t xml:space="preserve"> </w:t>
      </w:r>
      <w:r w:rsidR="002F215D">
        <w:rPr>
          <w:lang w:val="en-GB"/>
        </w:rPr>
        <w:t>The preliminary results indicate</w:t>
      </w:r>
      <w:r w:rsidR="00935D4F">
        <w:rPr>
          <w:lang w:val="en-GB"/>
        </w:rPr>
        <w:t>d</w:t>
      </w:r>
      <w:r w:rsidR="002F215D">
        <w:rPr>
          <w:lang w:val="en-GB"/>
        </w:rPr>
        <w:t xml:space="preserve"> the viability of the proposal</w:t>
      </w:r>
      <w:r w:rsidR="00BA4A05">
        <w:rPr>
          <w:lang w:val="en-GB"/>
        </w:rPr>
        <w:t xml:space="preserve">. However, this global route requires </w:t>
      </w:r>
      <w:r w:rsidR="00935D4F">
        <w:rPr>
          <w:lang w:val="en-GB"/>
        </w:rPr>
        <w:t>some</w:t>
      </w:r>
      <w:r w:rsidR="00BA4A05">
        <w:rPr>
          <w:lang w:val="en-GB"/>
        </w:rPr>
        <w:t xml:space="preserve"> reactions to achieve the main goal, so some of the</w:t>
      </w:r>
      <w:r w:rsidR="009E6F3B">
        <w:rPr>
          <w:lang w:val="en-GB"/>
        </w:rPr>
        <w:t>se</w:t>
      </w:r>
      <w:r w:rsidR="00BA4A05">
        <w:rPr>
          <w:lang w:val="en-GB"/>
        </w:rPr>
        <w:t xml:space="preserve"> </w:t>
      </w:r>
      <w:r w:rsidR="003E30A4">
        <w:rPr>
          <w:lang w:val="en-GB"/>
        </w:rPr>
        <w:t xml:space="preserve">individual </w:t>
      </w:r>
      <w:r w:rsidR="00BA4A05">
        <w:rPr>
          <w:lang w:val="en-GB"/>
        </w:rPr>
        <w:t>reactions of the</w:t>
      </w:r>
      <w:r w:rsidR="00743792">
        <w:rPr>
          <w:lang w:val="en-GB"/>
        </w:rPr>
        <w:t xml:space="preserve"> </w:t>
      </w:r>
      <w:r w:rsidR="005D6A0A">
        <w:rPr>
          <w:lang w:val="en-GB"/>
        </w:rPr>
        <w:t>global</w:t>
      </w:r>
      <w:r w:rsidR="00743792">
        <w:rPr>
          <w:lang w:val="en-GB"/>
        </w:rPr>
        <w:t xml:space="preserve"> route</w:t>
      </w:r>
      <w:r w:rsidR="00BA4A05">
        <w:rPr>
          <w:lang w:val="en-GB"/>
        </w:rPr>
        <w:t xml:space="preserve"> were studied in this work.</w:t>
      </w:r>
    </w:p>
    <w:p w:rsidR="00A5020A" w:rsidRDefault="003A44CA">
      <w:pPr>
        <w:pStyle w:val="normal0"/>
        <w:spacing w:before="120" w:after="120"/>
        <w:rPr>
          <w:lang w:val="en-GB"/>
        </w:rPr>
      </w:pPr>
      <w:r>
        <w:rPr>
          <w:lang w:val="en-GB"/>
        </w:rPr>
        <w:t>Analysis of the CH</w:t>
      </w:r>
      <w:r w:rsidRPr="00527DA1">
        <w:rPr>
          <w:vertAlign w:val="subscript"/>
          <w:lang w:val="en-GB"/>
        </w:rPr>
        <w:t>4</w:t>
      </w:r>
      <w:r>
        <w:rPr>
          <w:lang w:val="en-GB"/>
        </w:rPr>
        <w:t xml:space="preserve"> + O</w:t>
      </w:r>
      <w:r w:rsidRPr="00527DA1">
        <w:rPr>
          <w:vertAlign w:val="subscript"/>
          <w:lang w:val="en-GB"/>
        </w:rPr>
        <w:t>2</w:t>
      </w:r>
      <w:r>
        <w:rPr>
          <w:lang w:val="en-GB"/>
        </w:rPr>
        <w:t xml:space="preserve"> route indicated that it is </w:t>
      </w:r>
      <w:r w:rsidR="00E9399E">
        <w:rPr>
          <w:lang w:val="en-GB"/>
        </w:rPr>
        <w:t>exothermic and produces carbon dioxide, which can be used later in the production of urea.</w:t>
      </w:r>
      <w:r w:rsidR="006F02E2">
        <w:rPr>
          <w:lang w:val="en-GB"/>
        </w:rPr>
        <w:t xml:space="preserve"> </w:t>
      </w:r>
      <w:r w:rsidR="00527DA1">
        <w:rPr>
          <w:lang w:val="en-GB"/>
        </w:rPr>
        <w:t>Analysis of the</w:t>
      </w:r>
      <w:r w:rsidR="002779CE">
        <w:rPr>
          <w:lang w:val="en-GB"/>
        </w:rPr>
        <w:t xml:space="preserve"> CH</w:t>
      </w:r>
      <w:r w:rsidR="002779CE" w:rsidRPr="002779CE">
        <w:rPr>
          <w:vertAlign w:val="subscript"/>
          <w:lang w:val="en-GB"/>
        </w:rPr>
        <w:t>4</w:t>
      </w:r>
      <w:r w:rsidR="002779CE">
        <w:rPr>
          <w:lang w:val="en-GB"/>
        </w:rPr>
        <w:t xml:space="preserve"> + H</w:t>
      </w:r>
      <w:r w:rsidR="002779CE" w:rsidRPr="002779CE">
        <w:rPr>
          <w:vertAlign w:val="subscript"/>
          <w:lang w:val="en-GB"/>
        </w:rPr>
        <w:t>2</w:t>
      </w:r>
      <w:r w:rsidR="002779CE">
        <w:rPr>
          <w:lang w:val="en-GB"/>
        </w:rPr>
        <w:t xml:space="preserve">O </w:t>
      </w:r>
      <w:r w:rsidR="00527DA1">
        <w:rPr>
          <w:lang w:val="en-GB"/>
        </w:rPr>
        <w:t xml:space="preserve">route </w:t>
      </w:r>
      <w:r w:rsidR="00A5020A" w:rsidRPr="005B177A">
        <w:rPr>
          <w:lang w:val="en-GB"/>
        </w:rPr>
        <w:t xml:space="preserve">highlights a thermodynamically promising process for generating useful gases such as </w:t>
      </w:r>
      <w:r w:rsidR="002779CE">
        <w:rPr>
          <w:lang w:val="en-GB"/>
        </w:rPr>
        <w:t>H</w:t>
      </w:r>
      <w:r w:rsidR="002779CE" w:rsidRPr="002779CE">
        <w:rPr>
          <w:vertAlign w:val="subscript"/>
          <w:lang w:val="en-GB"/>
        </w:rPr>
        <w:t>2</w:t>
      </w:r>
      <w:r w:rsidR="002779CE">
        <w:rPr>
          <w:lang w:val="en-GB"/>
        </w:rPr>
        <w:t xml:space="preserve"> </w:t>
      </w:r>
      <w:r w:rsidR="00A5020A" w:rsidRPr="005B177A">
        <w:rPr>
          <w:lang w:val="en-GB"/>
        </w:rPr>
        <w:t xml:space="preserve">and CO, with strategic potential for meeting the demand for chemical and energy inputs in the transition to more sustainable technologies. The coexistence of liquid and steam phases </w:t>
      </w:r>
      <w:r w:rsidR="00373741">
        <w:rPr>
          <w:lang w:val="en-GB"/>
        </w:rPr>
        <w:t xml:space="preserve">at the end of the process </w:t>
      </w:r>
      <w:r w:rsidR="00A5020A" w:rsidRPr="005B177A">
        <w:rPr>
          <w:lang w:val="en-GB"/>
        </w:rPr>
        <w:t xml:space="preserve">reflects the presence of unconverted residual water, opening up the opportunity to optimize the process through precise control of operating variables such as temperature and pressure, as well as the introduction of more selective catalysts. In addition, partial conversion observed suggest that fine adjustments to the reaction design can significantly increase the efficiency of the process. The integration of optimized reforming and water-gas shift steps can increase </w:t>
      </w:r>
      <w:r w:rsidR="00A44CC5">
        <w:rPr>
          <w:lang w:val="en-GB"/>
        </w:rPr>
        <w:t>H</w:t>
      </w:r>
      <w:r w:rsidR="00A44CC5" w:rsidRPr="00A44CC5">
        <w:rPr>
          <w:vertAlign w:val="subscript"/>
          <w:lang w:val="en-GB"/>
        </w:rPr>
        <w:t>2</w:t>
      </w:r>
      <w:r w:rsidR="00A44CC5">
        <w:rPr>
          <w:lang w:val="en-GB"/>
        </w:rPr>
        <w:t xml:space="preserve"> </w:t>
      </w:r>
      <w:r w:rsidR="00A5020A" w:rsidRPr="005B177A">
        <w:rPr>
          <w:lang w:val="en-GB"/>
        </w:rPr>
        <w:t xml:space="preserve">production, consolidating the system as an attractive solution for generating clean energy and high value-added chemical inputs. In this way, this study provides a solid basis for the development of promising technologies in the use of </w:t>
      </w:r>
      <w:r w:rsidR="00A44CC5">
        <w:rPr>
          <w:lang w:val="en-GB"/>
        </w:rPr>
        <w:t>CH</w:t>
      </w:r>
      <w:r w:rsidR="00A44CC5" w:rsidRPr="00A44CC5">
        <w:rPr>
          <w:vertAlign w:val="subscript"/>
          <w:lang w:val="en-GB"/>
        </w:rPr>
        <w:t>4</w:t>
      </w:r>
      <w:r w:rsidR="00A5020A" w:rsidRPr="005B177A">
        <w:rPr>
          <w:lang w:val="en-GB"/>
        </w:rPr>
        <w:t>, with direct implications for environmental sustainability and the advance</w:t>
      </w:r>
      <w:r w:rsidR="002A5770">
        <w:rPr>
          <w:lang w:val="en-GB"/>
        </w:rPr>
        <w:t xml:space="preserve">ment of </w:t>
      </w:r>
      <w:r w:rsidR="00A44CC5">
        <w:rPr>
          <w:lang w:val="en-GB"/>
        </w:rPr>
        <w:t>a</w:t>
      </w:r>
      <w:r w:rsidR="002A5770">
        <w:rPr>
          <w:lang w:val="en-GB"/>
        </w:rPr>
        <w:t xml:space="preserve"> low-carbon economy.</w:t>
      </w:r>
    </w:p>
    <w:p w:rsidR="002A5770" w:rsidRPr="005B177A" w:rsidRDefault="000F362F" w:rsidP="001756F9">
      <w:pPr>
        <w:pStyle w:val="normal0"/>
        <w:spacing w:before="120" w:after="120"/>
        <w:rPr>
          <w:lang w:val="en-GB"/>
        </w:rPr>
      </w:pPr>
      <w:r>
        <w:rPr>
          <w:lang w:val="en-GB"/>
        </w:rPr>
        <w:t>O</w:t>
      </w:r>
      <w:r w:rsidR="00541455">
        <w:rPr>
          <w:lang w:val="en-GB"/>
        </w:rPr>
        <w:t>ther steps o</w:t>
      </w:r>
      <w:r w:rsidR="002A5770">
        <w:rPr>
          <w:lang w:val="en-GB"/>
        </w:rPr>
        <w:t>f reactions</w:t>
      </w:r>
      <w:r w:rsidR="00541455">
        <w:rPr>
          <w:lang w:val="en-GB"/>
        </w:rPr>
        <w:t xml:space="preserve"> to produce urea</w:t>
      </w:r>
      <w:r w:rsidR="002A5770">
        <w:rPr>
          <w:lang w:val="en-GB"/>
        </w:rPr>
        <w:t xml:space="preserve"> </w:t>
      </w:r>
      <w:r w:rsidR="0031769F">
        <w:rPr>
          <w:lang w:val="en-GB"/>
        </w:rPr>
        <w:t>have</w:t>
      </w:r>
      <w:r w:rsidR="002A5770">
        <w:rPr>
          <w:lang w:val="en-GB"/>
        </w:rPr>
        <w:t xml:space="preserve"> </w:t>
      </w:r>
      <w:r w:rsidR="00514F6A">
        <w:rPr>
          <w:lang w:val="en-GB"/>
        </w:rPr>
        <w:t xml:space="preserve">to </w:t>
      </w:r>
      <w:r w:rsidR="002A5770">
        <w:rPr>
          <w:lang w:val="en-GB"/>
        </w:rPr>
        <w:t>be evaluated</w:t>
      </w:r>
      <w:r>
        <w:rPr>
          <w:lang w:val="en-GB"/>
        </w:rPr>
        <w:t>, such as the production of NH</w:t>
      </w:r>
      <w:r w:rsidRPr="000F362F">
        <w:rPr>
          <w:vertAlign w:val="subscript"/>
          <w:lang w:val="en-GB"/>
        </w:rPr>
        <w:t>3</w:t>
      </w:r>
      <w:r>
        <w:rPr>
          <w:lang w:val="en-GB"/>
        </w:rPr>
        <w:t xml:space="preserve"> and the reaction of CO</w:t>
      </w:r>
      <w:r w:rsidRPr="000F362F">
        <w:rPr>
          <w:vertAlign w:val="subscript"/>
          <w:lang w:val="en-GB"/>
        </w:rPr>
        <w:t>2</w:t>
      </w:r>
      <w:r>
        <w:rPr>
          <w:lang w:val="en-GB"/>
        </w:rPr>
        <w:t xml:space="preserve"> and NH</w:t>
      </w:r>
      <w:r w:rsidRPr="000F362F">
        <w:rPr>
          <w:vertAlign w:val="subscript"/>
          <w:lang w:val="en-GB"/>
        </w:rPr>
        <w:t>3</w:t>
      </w:r>
      <w:r w:rsidR="0031769F">
        <w:rPr>
          <w:lang w:val="en-GB"/>
        </w:rPr>
        <w:t xml:space="preserve">, </w:t>
      </w:r>
      <w:r w:rsidR="00AD4A88">
        <w:rPr>
          <w:lang w:val="en-GB"/>
        </w:rPr>
        <w:t>using</w:t>
      </w:r>
      <w:r w:rsidR="0031769F">
        <w:rPr>
          <w:lang w:val="en-GB"/>
        </w:rPr>
        <w:t xml:space="preserve"> real process conditions (temperature and pressure</w:t>
      </w:r>
      <w:r w:rsidR="00474BA6">
        <w:rPr>
          <w:lang w:val="en-GB"/>
        </w:rPr>
        <w:t xml:space="preserve"> at operating conditions</w:t>
      </w:r>
      <w:r w:rsidR="0031769F">
        <w:rPr>
          <w:lang w:val="en-GB"/>
        </w:rPr>
        <w:t>)</w:t>
      </w:r>
      <w:r w:rsidR="00C732E2">
        <w:rPr>
          <w:lang w:val="en-GB"/>
        </w:rPr>
        <w:t xml:space="preserve">, </w:t>
      </w:r>
      <w:r w:rsidR="00AD4A88">
        <w:rPr>
          <w:lang w:val="en-GB"/>
        </w:rPr>
        <w:t>simulated with</w:t>
      </w:r>
      <w:r w:rsidR="00C732E2">
        <w:rPr>
          <w:lang w:val="en-GB"/>
        </w:rPr>
        <w:t xml:space="preserve"> a </w:t>
      </w:r>
      <w:r w:rsidR="00E00B17">
        <w:rPr>
          <w:lang w:val="en-GB"/>
        </w:rPr>
        <w:t>software</w:t>
      </w:r>
      <w:r w:rsidR="00C732E2">
        <w:rPr>
          <w:lang w:val="en-GB"/>
        </w:rPr>
        <w:t xml:space="preserve"> such a</w:t>
      </w:r>
      <w:r w:rsidR="00A351A3">
        <w:rPr>
          <w:lang w:val="en-GB"/>
        </w:rPr>
        <w:t>s</w:t>
      </w:r>
      <w:r w:rsidR="00C732E2">
        <w:rPr>
          <w:lang w:val="en-GB"/>
        </w:rPr>
        <w:t xml:space="preserve"> Aspen</w:t>
      </w:r>
      <w:r w:rsidR="002A5770">
        <w:rPr>
          <w:lang w:val="en-GB"/>
        </w:rPr>
        <w:t>.</w:t>
      </w:r>
      <w:r w:rsidR="001756F9">
        <w:rPr>
          <w:lang w:val="en-GB"/>
        </w:rPr>
        <w:t xml:space="preserve"> </w:t>
      </w:r>
      <w:r w:rsidR="001756F9" w:rsidRPr="001756F9">
        <w:rPr>
          <w:lang w:val="en-GB"/>
        </w:rPr>
        <w:t>It will be a part of this work as future research</w:t>
      </w:r>
      <w:r w:rsidR="00083507">
        <w:rPr>
          <w:lang w:val="en-GB"/>
        </w:rPr>
        <w:t>,</w:t>
      </w:r>
      <w:r w:rsidR="001756F9" w:rsidRPr="001756F9">
        <w:rPr>
          <w:lang w:val="en-GB"/>
        </w:rPr>
        <w:t xml:space="preserve"> as well as the s</w:t>
      </w:r>
      <w:r w:rsidR="001756F9">
        <w:rPr>
          <w:lang w:val="en-GB"/>
        </w:rPr>
        <w:t xml:space="preserve">cale-up and technical economic </w:t>
      </w:r>
      <w:r w:rsidR="001756F9" w:rsidRPr="001756F9">
        <w:rPr>
          <w:lang w:val="en-GB"/>
        </w:rPr>
        <w:t>analysis of the process.</w:t>
      </w:r>
    </w:p>
    <w:p w:rsidR="00A5020A" w:rsidRPr="005B177A" w:rsidRDefault="00A5020A" w:rsidP="00DC6E02">
      <w:pPr>
        <w:pStyle w:val="normal0"/>
        <w:spacing w:before="240" w:after="120"/>
        <w:rPr>
          <w:b/>
          <w:sz w:val="20"/>
          <w:szCs w:val="20"/>
          <w:lang w:val="en-GB"/>
        </w:rPr>
      </w:pPr>
      <w:r w:rsidRPr="005B177A">
        <w:rPr>
          <w:b/>
          <w:sz w:val="20"/>
          <w:szCs w:val="20"/>
          <w:lang w:val="en-GB"/>
        </w:rPr>
        <w:t>References</w:t>
      </w:r>
    </w:p>
    <w:p w:rsidR="00A5020A" w:rsidRPr="005B177A" w:rsidRDefault="009C56F3" w:rsidP="00147039">
      <w:pPr>
        <w:pStyle w:val="normal0"/>
        <w:ind w:left="284" w:hanging="284"/>
        <w:rPr>
          <w:lang w:val="en-GB"/>
        </w:rPr>
      </w:pPr>
      <w:r>
        <w:rPr>
          <w:lang w:val="en-GB"/>
        </w:rPr>
        <w:t>Aasberg-P</w:t>
      </w:r>
      <w:r w:rsidR="0076059A" w:rsidRPr="005B177A">
        <w:rPr>
          <w:lang w:val="en-GB"/>
        </w:rPr>
        <w:t>etersen</w:t>
      </w:r>
      <w:r w:rsidR="00755FD8">
        <w:rPr>
          <w:lang w:val="en-GB"/>
        </w:rPr>
        <w:t xml:space="preserve"> K.,</w:t>
      </w:r>
      <w:r w:rsidR="00A5020A" w:rsidRPr="005B177A">
        <w:rPr>
          <w:lang w:val="en-GB"/>
        </w:rPr>
        <w:t xml:space="preserve"> </w:t>
      </w:r>
      <w:r w:rsidR="0076059A">
        <w:rPr>
          <w:lang w:val="en-GB"/>
        </w:rPr>
        <w:t>C</w:t>
      </w:r>
      <w:r w:rsidR="0076059A" w:rsidRPr="005B177A">
        <w:rPr>
          <w:lang w:val="en-GB"/>
        </w:rPr>
        <w:t>hristensen</w:t>
      </w:r>
      <w:r w:rsidR="00755FD8">
        <w:rPr>
          <w:lang w:val="en-GB"/>
        </w:rPr>
        <w:t xml:space="preserve"> T.S.,</w:t>
      </w:r>
      <w:r w:rsidR="00A5020A" w:rsidRPr="005B177A">
        <w:rPr>
          <w:lang w:val="en-GB"/>
        </w:rPr>
        <w:t xml:space="preserve"> </w:t>
      </w:r>
      <w:r w:rsidR="0076059A">
        <w:rPr>
          <w:lang w:val="en-GB"/>
        </w:rPr>
        <w:t>N</w:t>
      </w:r>
      <w:r w:rsidR="0076059A" w:rsidRPr="005B177A">
        <w:rPr>
          <w:lang w:val="en-GB"/>
        </w:rPr>
        <w:t>ielsen</w:t>
      </w:r>
      <w:r w:rsidR="00755FD8">
        <w:rPr>
          <w:lang w:val="en-GB"/>
        </w:rPr>
        <w:t xml:space="preserve"> C.S.,</w:t>
      </w:r>
      <w:r w:rsidR="00A5020A" w:rsidRPr="005B177A">
        <w:rPr>
          <w:lang w:val="en-GB"/>
        </w:rPr>
        <w:t xml:space="preserve"> </w:t>
      </w:r>
      <w:r w:rsidR="0076059A">
        <w:rPr>
          <w:lang w:val="en-GB"/>
        </w:rPr>
        <w:t>D</w:t>
      </w:r>
      <w:r w:rsidR="0076059A" w:rsidRPr="005B177A">
        <w:rPr>
          <w:lang w:val="en-GB"/>
        </w:rPr>
        <w:t>ybkjaer</w:t>
      </w:r>
      <w:r w:rsidR="00755FD8">
        <w:rPr>
          <w:lang w:val="en-GB"/>
        </w:rPr>
        <w:t xml:space="preserve"> </w:t>
      </w:r>
      <w:r w:rsidR="00172A43">
        <w:rPr>
          <w:lang w:val="en-GB"/>
        </w:rPr>
        <w:t>I</w:t>
      </w:r>
      <w:r w:rsidR="00755FD8">
        <w:rPr>
          <w:lang w:val="en-GB"/>
        </w:rPr>
        <w:t>.</w:t>
      </w:r>
      <w:r w:rsidR="00172A43">
        <w:rPr>
          <w:lang w:val="en-GB"/>
        </w:rPr>
        <w:t>, 2003,</w:t>
      </w:r>
      <w:r w:rsidR="00755FD8">
        <w:rPr>
          <w:lang w:val="en-GB"/>
        </w:rPr>
        <w:t xml:space="preserve"> Recent </w:t>
      </w:r>
      <w:r w:rsidR="00A5020A" w:rsidRPr="005B177A">
        <w:rPr>
          <w:lang w:val="en-GB"/>
        </w:rPr>
        <w:t>developments in autothermal reforming and pre-reforming for synthesis gas production in GTL applications. Fuel Processing Technology, Amsterdam, v. 83, n. 1- 3, p. 253- 261.</w:t>
      </w:r>
    </w:p>
    <w:p w:rsidR="00A5020A" w:rsidRPr="005B177A" w:rsidRDefault="00A5020A" w:rsidP="00147039">
      <w:pPr>
        <w:pStyle w:val="normal0"/>
        <w:ind w:left="284" w:hanging="284"/>
        <w:rPr>
          <w:lang w:val="en-GB"/>
        </w:rPr>
      </w:pPr>
      <w:r w:rsidRPr="005B177A">
        <w:rPr>
          <w:lang w:val="en-GB"/>
        </w:rPr>
        <w:t>A</w:t>
      </w:r>
      <w:r w:rsidR="00652B6D" w:rsidRPr="005B177A">
        <w:rPr>
          <w:lang w:val="en-GB"/>
        </w:rPr>
        <w:t>dhikiri</w:t>
      </w:r>
      <w:r w:rsidRPr="005B177A">
        <w:rPr>
          <w:lang w:val="en-GB"/>
        </w:rPr>
        <w:t xml:space="preserve"> S</w:t>
      </w:r>
      <w:r w:rsidR="00652B6D">
        <w:rPr>
          <w:lang w:val="en-GB"/>
        </w:rPr>
        <w:t>.,</w:t>
      </w:r>
      <w:r w:rsidRPr="005B177A">
        <w:rPr>
          <w:lang w:val="en-GB"/>
        </w:rPr>
        <w:t xml:space="preserve"> F</w:t>
      </w:r>
      <w:r w:rsidR="00652B6D" w:rsidRPr="005B177A">
        <w:rPr>
          <w:lang w:val="en-GB"/>
        </w:rPr>
        <w:t>ernado</w:t>
      </w:r>
      <w:r w:rsidRPr="005B177A">
        <w:rPr>
          <w:lang w:val="en-GB"/>
        </w:rPr>
        <w:t xml:space="preserve"> S</w:t>
      </w:r>
      <w:r w:rsidR="00652B6D">
        <w:rPr>
          <w:lang w:val="en-GB"/>
        </w:rPr>
        <w:t>.,</w:t>
      </w:r>
      <w:r w:rsidRPr="005B177A">
        <w:rPr>
          <w:lang w:val="en-GB"/>
        </w:rPr>
        <w:t xml:space="preserve"> G</w:t>
      </w:r>
      <w:r w:rsidR="00652B6D" w:rsidRPr="005B177A">
        <w:rPr>
          <w:lang w:val="en-GB"/>
        </w:rPr>
        <w:t>waltney</w:t>
      </w:r>
      <w:r w:rsidRPr="005B177A">
        <w:rPr>
          <w:lang w:val="en-GB"/>
        </w:rPr>
        <w:t xml:space="preserve"> S.</w:t>
      </w:r>
      <w:r w:rsidR="00652B6D">
        <w:rPr>
          <w:lang w:val="en-GB"/>
        </w:rPr>
        <w:t>, 2007,</w:t>
      </w:r>
      <w:r w:rsidRPr="005B177A">
        <w:rPr>
          <w:lang w:val="en-GB"/>
        </w:rPr>
        <w:t xml:space="preserve"> A thermodynamic analysis of hydrogen production by steam reforming of glycerol. International Jou</w:t>
      </w:r>
      <w:r w:rsidR="00A07507">
        <w:rPr>
          <w:lang w:val="en-GB"/>
        </w:rPr>
        <w:t>rnal of Hydrogen E</w:t>
      </w:r>
      <w:r w:rsidR="00652B6D">
        <w:rPr>
          <w:lang w:val="en-GB"/>
        </w:rPr>
        <w:t xml:space="preserve">nergy, p. </w:t>
      </w:r>
      <w:r w:rsidRPr="005B177A">
        <w:rPr>
          <w:lang w:val="en-GB"/>
        </w:rPr>
        <w:t>2875 – 2880.</w:t>
      </w:r>
    </w:p>
    <w:p w:rsidR="00A5020A" w:rsidRPr="005B177A" w:rsidRDefault="00A5020A" w:rsidP="00147039">
      <w:pPr>
        <w:pStyle w:val="normal0"/>
        <w:tabs>
          <w:tab w:val="left" w:pos="7020"/>
        </w:tabs>
        <w:ind w:left="284" w:hanging="284"/>
        <w:rPr>
          <w:lang w:val="en-GB"/>
        </w:rPr>
      </w:pPr>
      <w:r w:rsidRPr="005B177A">
        <w:rPr>
          <w:lang w:val="en-GB"/>
        </w:rPr>
        <w:t>B</w:t>
      </w:r>
      <w:r w:rsidR="00A07507" w:rsidRPr="005B177A">
        <w:rPr>
          <w:smallCaps/>
          <w:lang w:val="en-GB"/>
        </w:rPr>
        <w:t>oros</w:t>
      </w:r>
      <w:r w:rsidR="00A07507">
        <w:rPr>
          <w:lang w:val="en-GB"/>
        </w:rPr>
        <w:t xml:space="preserve"> L.A.</w:t>
      </w:r>
      <w:r w:rsidRPr="005B177A">
        <w:rPr>
          <w:lang w:val="en-GB"/>
        </w:rPr>
        <w:t>D., Mathematical and Thermodynamic Modeling of Solid-Liquid Equilibrium of Fatty Systems</w:t>
      </w:r>
      <w:r w:rsidR="00A07507">
        <w:rPr>
          <w:lang w:val="en-GB"/>
        </w:rPr>
        <w:t>, 2005</w:t>
      </w:r>
      <w:r w:rsidRPr="005B177A">
        <w:rPr>
          <w:lang w:val="en-GB"/>
        </w:rPr>
        <w:t>, Master's Thesis in Chemical Engineering –</w:t>
      </w:r>
      <w:r w:rsidR="00014C1D">
        <w:rPr>
          <w:lang w:val="en-GB"/>
        </w:rPr>
        <w:t xml:space="preserve"> </w:t>
      </w:r>
      <w:r w:rsidRPr="005B177A">
        <w:rPr>
          <w:lang w:val="en-GB"/>
        </w:rPr>
        <w:t xml:space="preserve">Unicamp </w:t>
      </w:r>
      <w:r w:rsidR="00A07507" w:rsidRPr="005B177A">
        <w:rPr>
          <w:lang w:val="en-GB"/>
        </w:rPr>
        <w:t>–</w:t>
      </w:r>
      <w:r w:rsidR="00A07507">
        <w:rPr>
          <w:lang w:val="en-GB"/>
        </w:rPr>
        <w:t xml:space="preserve"> Brazil.</w:t>
      </w:r>
      <w:r w:rsidRPr="005B177A">
        <w:rPr>
          <w:lang w:val="en-GB"/>
        </w:rPr>
        <w:t xml:space="preserve"> </w:t>
      </w:r>
    </w:p>
    <w:p w:rsidR="00A5020A" w:rsidRPr="005B177A" w:rsidRDefault="00A5020A" w:rsidP="00147039">
      <w:pPr>
        <w:pStyle w:val="normal0"/>
        <w:ind w:left="284" w:hanging="284"/>
        <w:rPr>
          <w:lang w:val="en-GB"/>
        </w:rPr>
      </w:pPr>
      <w:r w:rsidRPr="005B177A">
        <w:rPr>
          <w:lang w:val="en-GB"/>
        </w:rPr>
        <w:t>C</w:t>
      </w:r>
      <w:r w:rsidR="006D0899" w:rsidRPr="005B177A">
        <w:rPr>
          <w:lang w:val="en-GB"/>
        </w:rPr>
        <w:t>haubey</w:t>
      </w:r>
      <w:r w:rsidR="006D0899">
        <w:rPr>
          <w:lang w:val="en-GB"/>
        </w:rPr>
        <w:t xml:space="preserve"> R.,</w:t>
      </w:r>
      <w:r w:rsidRPr="005B177A">
        <w:rPr>
          <w:lang w:val="en-GB"/>
        </w:rPr>
        <w:t xml:space="preserve"> S</w:t>
      </w:r>
      <w:r w:rsidR="006D0899" w:rsidRPr="005B177A">
        <w:rPr>
          <w:lang w:val="en-GB"/>
        </w:rPr>
        <w:t>ahu</w:t>
      </w:r>
      <w:r w:rsidR="006D0899">
        <w:rPr>
          <w:lang w:val="en-GB"/>
        </w:rPr>
        <w:t xml:space="preserve"> S.,</w:t>
      </w:r>
      <w:r w:rsidRPr="005B177A">
        <w:rPr>
          <w:lang w:val="en-GB"/>
        </w:rPr>
        <w:t xml:space="preserve"> J</w:t>
      </w:r>
      <w:r w:rsidR="006D0899" w:rsidRPr="005B177A">
        <w:rPr>
          <w:lang w:val="en-GB"/>
        </w:rPr>
        <w:t>ames</w:t>
      </w:r>
      <w:r w:rsidR="006D0899">
        <w:rPr>
          <w:lang w:val="en-GB"/>
        </w:rPr>
        <w:t xml:space="preserve"> O.O.,</w:t>
      </w:r>
      <w:r w:rsidRPr="005B177A">
        <w:rPr>
          <w:lang w:val="en-GB"/>
        </w:rPr>
        <w:t xml:space="preserve"> M</w:t>
      </w:r>
      <w:r w:rsidR="006D0899" w:rsidRPr="005B177A">
        <w:rPr>
          <w:lang w:val="en-GB"/>
        </w:rPr>
        <w:t>aity</w:t>
      </w:r>
      <w:r w:rsidRPr="005B177A">
        <w:rPr>
          <w:lang w:val="en-GB"/>
        </w:rPr>
        <w:t xml:space="preserve"> S.</w:t>
      </w:r>
      <w:r w:rsidR="006D0899">
        <w:rPr>
          <w:lang w:val="en-GB"/>
        </w:rPr>
        <w:t xml:space="preserve">, 2013, </w:t>
      </w:r>
      <w:r w:rsidRPr="005B177A">
        <w:rPr>
          <w:lang w:val="en-GB"/>
        </w:rPr>
        <w:t>A review on development of industrial processes and emerging techniques for production of hydrogen from renew able</w:t>
      </w:r>
      <w:r w:rsidR="00186273">
        <w:rPr>
          <w:lang w:val="en-GB"/>
        </w:rPr>
        <w:t xml:space="preserve"> and sustainable sources. Renew</w:t>
      </w:r>
      <w:r w:rsidRPr="005B177A">
        <w:rPr>
          <w:lang w:val="en-GB"/>
        </w:rPr>
        <w:t>able and Sustainable Energy Review s,</w:t>
      </w:r>
      <w:r w:rsidR="006D0899">
        <w:rPr>
          <w:lang w:val="en-GB"/>
        </w:rPr>
        <w:t xml:space="preserve"> Oxford, v. 23, p. 443-462</w:t>
      </w:r>
      <w:r w:rsidRPr="005B177A">
        <w:rPr>
          <w:lang w:val="en-GB"/>
        </w:rPr>
        <w:t>.</w:t>
      </w:r>
    </w:p>
    <w:p w:rsidR="00A5020A" w:rsidRPr="005B177A" w:rsidRDefault="00A5020A" w:rsidP="00147039">
      <w:pPr>
        <w:pStyle w:val="normal0"/>
        <w:tabs>
          <w:tab w:val="left" w:pos="7020"/>
        </w:tabs>
        <w:ind w:left="284" w:hanging="284"/>
        <w:rPr>
          <w:lang w:val="en-GB"/>
        </w:rPr>
      </w:pPr>
      <w:r w:rsidRPr="005B177A">
        <w:rPr>
          <w:lang w:val="en-GB"/>
        </w:rPr>
        <w:t>E</w:t>
      </w:r>
      <w:r w:rsidR="005F55F6" w:rsidRPr="005B177A">
        <w:rPr>
          <w:lang w:val="en-GB"/>
        </w:rPr>
        <w:t>dgar</w:t>
      </w:r>
      <w:r w:rsidR="005F55F6">
        <w:rPr>
          <w:lang w:val="en-GB"/>
        </w:rPr>
        <w:t xml:space="preserve"> T.F.,</w:t>
      </w:r>
      <w:r w:rsidRPr="005B177A">
        <w:rPr>
          <w:lang w:val="en-GB"/>
        </w:rPr>
        <w:t xml:space="preserve"> H</w:t>
      </w:r>
      <w:r w:rsidR="005F55F6" w:rsidRPr="005B177A">
        <w:rPr>
          <w:lang w:val="en-GB"/>
        </w:rPr>
        <w:t>immelblau</w:t>
      </w:r>
      <w:r w:rsidR="005F55F6">
        <w:rPr>
          <w:lang w:val="en-GB"/>
        </w:rPr>
        <w:t xml:space="preserve"> D.M.,</w:t>
      </w:r>
      <w:r w:rsidRPr="005B177A">
        <w:rPr>
          <w:lang w:val="en-GB"/>
        </w:rPr>
        <w:t xml:space="preserve"> L</w:t>
      </w:r>
      <w:r w:rsidR="005F55F6" w:rsidRPr="005B177A">
        <w:rPr>
          <w:lang w:val="en-GB"/>
        </w:rPr>
        <w:t>asdon</w:t>
      </w:r>
      <w:r w:rsidR="005F55F6">
        <w:rPr>
          <w:lang w:val="en-GB"/>
        </w:rPr>
        <w:t xml:space="preserve"> L.</w:t>
      </w:r>
      <w:r w:rsidRPr="005B177A">
        <w:rPr>
          <w:lang w:val="en-GB"/>
        </w:rPr>
        <w:t>S.,</w:t>
      </w:r>
      <w:r w:rsidR="005F55F6">
        <w:rPr>
          <w:lang w:val="en-GB"/>
        </w:rPr>
        <w:t xml:space="preserve"> 2001</w:t>
      </w:r>
      <w:r w:rsidR="005F55F6" w:rsidRPr="0023088F">
        <w:rPr>
          <w:lang w:val="en-GB"/>
        </w:rPr>
        <w:t>,</w:t>
      </w:r>
      <w:r w:rsidRPr="0023088F">
        <w:rPr>
          <w:lang w:val="en-GB"/>
        </w:rPr>
        <w:t xml:space="preserve"> </w:t>
      </w:r>
      <w:r w:rsidR="005D246B">
        <w:rPr>
          <w:lang w:val="en-GB"/>
        </w:rPr>
        <w:t>Optimization of Chemical P</w:t>
      </w:r>
      <w:r w:rsidRPr="0023088F">
        <w:rPr>
          <w:lang w:val="en-GB"/>
        </w:rPr>
        <w:t>rocesses</w:t>
      </w:r>
      <w:r w:rsidRPr="005B177A">
        <w:rPr>
          <w:lang w:val="en-GB"/>
        </w:rPr>
        <w:t>, McGraw-Hill, 2</w:t>
      </w:r>
      <w:r w:rsidRPr="005B177A">
        <w:rPr>
          <w:vertAlign w:val="superscript"/>
          <w:lang w:val="en-GB"/>
        </w:rPr>
        <w:t>nd</w:t>
      </w:r>
      <w:r w:rsidR="005D246B">
        <w:rPr>
          <w:lang w:val="en-GB"/>
        </w:rPr>
        <w:t xml:space="preserve"> ed.</w:t>
      </w:r>
      <w:r w:rsidR="005F55F6">
        <w:rPr>
          <w:lang w:val="en-GB"/>
        </w:rPr>
        <w:t>, New York</w:t>
      </w:r>
      <w:r w:rsidRPr="005B177A">
        <w:rPr>
          <w:lang w:val="en-GB"/>
        </w:rPr>
        <w:t>.</w:t>
      </w:r>
    </w:p>
    <w:p w:rsidR="009A405F" w:rsidRDefault="00A5020A" w:rsidP="00147039">
      <w:pPr>
        <w:pStyle w:val="normal0"/>
        <w:ind w:left="284" w:hanging="284"/>
        <w:rPr>
          <w:lang w:val="en-GB"/>
        </w:rPr>
      </w:pPr>
      <w:r w:rsidRPr="005B177A">
        <w:rPr>
          <w:lang w:val="en-GB"/>
        </w:rPr>
        <w:t>F</w:t>
      </w:r>
      <w:r w:rsidR="0023088F" w:rsidRPr="005B177A">
        <w:rPr>
          <w:lang w:val="en-GB"/>
        </w:rPr>
        <w:t>reitas</w:t>
      </w:r>
      <w:r w:rsidR="0023088F">
        <w:rPr>
          <w:lang w:val="en-GB"/>
        </w:rPr>
        <w:t xml:space="preserve"> A.C.D,</w:t>
      </w:r>
      <w:r w:rsidRPr="005B177A">
        <w:rPr>
          <w:lang w:val="en-GB"/>
        </w:rPr>
        <w:t xml:space="preserve"> G</w:t>
      </w:r>
      <w:r w:rsidR="0023088F" w:rsidRPr="005B177A">
        <w:rPr>
          <w:lang w:val="en-GB"/>
        </w:rPr>
        <w:t>uirardello</w:t>
      </w:r>
      <w:r w:rsidR="0023088F">
        <w:rPr>
          <w:lang w:val="en-GB"/>
        </w:rPr>
        <w:t xml:space="preserve"> </w:t>
      </w:r>
      <w:r w:rsidRPr="005B177A">
        <w:rPr>
          <w:lang w:val="en-GB"/>
        </w:rPr>
        <w:t>R.</w:t>
      </w:r>
      <w:r w:rsidR="0023088F">
        <w:rPr>
          <w:lang w:val="en-GB"/>
        </w:rPr>
        <w:t>, 2014,</w:t>
      </w:r>
      <w:r w:rsidRPr="005B177A">
        <w:rPr>
          <w:lang w:val="en-GB"/>
        </w:rPr>
        <w:t xml:space="preserve"> Thermodynamic analysis of methane reforming with CO</w:t>
      </w:r>
      <w:r w:rsidRPr="00001FFD">
        <w:rPr>
          <w:vertAlign w:val="subscript"/>
          <w:lang w:val="en-GB"/>
        </w:rPr>
        <w:t>2</w:t>
      </w:r>
      <w:r w:rsidRPr="005B177A">
        <w:rPr>
          <w:lang w:val="en-GB"/>
        </w:rPr>
        <w:t>, CO</w:t>
      </w:r>
      <w:r w:rsidRPr="00001FFD">
        <w:rPr>
          <w:vertAlign w:val="subscript"/>
          <w:lang w:val="en-GB"/>
        </w:rPr>
        <w:t>2</w:t>
      </w:r>
      <w:r w:rsidRPr="005B177A">
        <w:rPr>
          <w:lang w:val="en-GB"/>
        </w:rPr>
        <w:t xml:space="preserve"> + H</w:t>
      </w:r>
      <w:r w:rsidRPr="00001FFD">
        <w:rPr>
          <w:vertAlign w:val="subscript"/>
          <w:lang w:val="en-GB"/>
        </w:rPr>
        <w:t>2</w:t>
      </w:r>
      <w:r w:rsidRPr="005B177A">
        <w:rPr>
          <w:lang w:val="en-GB"/>
        </w:rPr>
        <w:t>O, CO</w:t>
      </w:r>
      <w:r w:rsidRPr="00001FFD">
        <w:rPr>
          <w:vertAlign w:val="subscript"/>
          <w:lang w:val="en-GB"/>
        </w:rPr>
        <w:t>2</w:t>
      </w:r>
      <w:r w:rsidRPr="005B177A">
        <w:rPr>
          <w:lang w:val="en-GB"/>
        </w:rPr>
        <w:t xml:space="preserve"> + O</w:t>
      </w:r>
      <w:r w:rsidRPr="00001FFD">
        <w:rPr>
          <w:vertAlign w:val="subscript"/>
          <w:lang w:val="en-GB"/>
        </w:rPr>
        <w:t xml:space="preserve">2 </w:t>
      </w:r>
      <w:r w:rsidRPr="005B177A">
        <w:rPr>
          <w:lang w:val="en-GB"/>
        </w:rPr>
        <w:t>and CO</w:t>
      </w:r>
      <w:r w:rsidRPr="00001FFD">
        <w:rPr>
          <w:vertAlign w:val="subscript"/>
          <w:lang w:val="en-GB"/>
        </w:rPr>
        <w:t>2</w:t>
      </w:r>
      <w:r w:rsidRPr="005B177A">
        <w:rPr>
          <w:lang w:val="en-GB"/>
        </w:rPr>
        <w:t xml:space="preserve"> + air for hydrogen and synthesis gas production. Jou</w:t>
      </w:r>
      <w:r w:rsidR="0023088F">
        <w:rPr>
          <w:lang w:val="en-GB"/>
        </w:rPr>
        <w:t>rnal of CO2 utilization, p 30-</w:t>
      </w:r>
      <w:r w:rsidRPr="005B177A">
        <w:rPr>
          <w:lang w:val="en-GB"/>
        </w:rPr>
        <w:t>38.</w:t>
      </w:r>
    </w:p>
    <w:p w:rsidR="002577B8" w:rsidRDefault="00AE74AE" w:rsidP="00147039">
      <w:pPr>
        <w:pStyle w:val="normal0"/>
        <w:ind w:left="284" w:hanging="284"/>
        <w:rPr>
          <w:lang w:val="en-GB"/>
        </w:rPr>
      </w:pPr>
      <w:r w:rsidRPr="00AE74AE">
        <w:rPr>
          <w:lang w:val="en-GB"/>
        </w:rPr>
        <w:t>Reid R.C., Prausnitz J.M., Poling B.E., 1987, The Properties of Gases &amp; Li</w:t>
      </w:r>
      <w:r w:rsidR="00A332B3">
        <w:rPr>
          <w:lang w:val="en-GB"/>
        </w:rPr>
        <w:t>quids, 4th Edition, McGraw-Hill, New York.</w:t>
      </w:r>
    </w:p>
    <w:sectPr w:rsidR="002577B8" w:rsidSect="00C57847">
      <w:pgSz w:w="11906" w:h="16838"/>
      <w:pgMar w:top="1701" w:right="1418" w:bottom="1701" w:left="1701" w:header="1701" w:footer="0" w:gutter="0"/>
      <w:pgNumType w:start="1"/>
      <w:cols w:space="720"/>
      <w:titlePg/>
    </w:sectPr>
  </w:body>
</w:document>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6F19"/>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nsid w:val="3ACE21F5"/>
    <w:multiLevelType w:val="multilevel"/>
    <w:tmpl w:val="FFFFFFFF"/>
    <w:lvl w:ilvl="0">
      <w:start w:val="1"/>
      <w:numFmt w:val="decimal"/>
      <w:lvlText w:val="Chapter %1"/>
      <w:lvlJc w:val="left"/>
      <w:rPr>
        <w:rFonts w:cs="Times New Roman"/>
      </w:rPr>
    </w:lvl>
    <w:lvl w:ilvl="1">
      <w:start w:val="1"/>
      <w:numFmt w:val="decimal"/>
      <w:lvlText w:val="%2."/>
      <w:lvlJc w:val="left"/>
      <w:rPr>
        <w:rFonts w:cs="Times New Roman"/>
      </w:rPr>
    </w:lvl>
    <w:lvl w:ilvl="2">
      <w:start w:val="1"/>
      <w:numFmt w:val="decimal"/>
      <w:lvlText w:val="%2.%3"/>
      <w:lvlJc w:val="left"/>
      <w:rPr>
        <w:rFonts w:cs="Times New Roman"/>
      </w:rPr>
    </w:lvl>
    <w:lvl w:ilvl="3">
      <w:start w:val="1"/>
      <w:numFmt w:val="decimal"/>
      <w:lvlText w:val="%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3.%4.%5.%6.%7.%8.%9."/>
      <w:lvlJc w:val="left"/>
      <w:rPr>
        <w:rFonts w:cs="Times New Roman"/>
      </w:rPr>
    </w:lvl>
  </w:abstractNum>
  <w:abstractNum w:abstractNumId="2">
    <w:nsid w:val="62854F0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62BC145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671147BF"/>
    <w:multiLevelType w:val="multilevel"/>
    <w:tmpl w:val="FFFFFFFF"/>
    <w:lvl w:ilvl="0">
      <w:start w:val="1"/>
      <w:numFmt w:val="decimal"/>
      <w:lvlText w:val="Chapter %1"/>
      <w:lvlJc w:val="left"/>
      <w:rPr>
        <w:rFonts w:cs="Times New Roman"/>
      </w:rPr>
    </w:lvl>
    <w:lvl w:ilvl="1">
      <w:start w:val="4"/>
      <w:numFmt w:val="decimal"/>
      <w:lvlText w:val="%2."/>
      <w:lvlJc w:val="left"/>
      <w:rPr>
        <w:rFonts w:cs="Times New Roman"/>
      </w:rPr>
    </w:lvl>
    <w:lvl w:ilvl="2">
      <w:start w:val="1"/>
      <w:numFmt w:val="decimal"/>
      <w:lvlText w:val="%2.%3"/>
      <w:lvlJc w:val="left"/>
      <w:rPr>
        <w:rFonts w:cs="Times New Roman"/>
      </w:rPr>
    </w:lvl>
    <w:lvl w:ilvl="3">
      <w:start w:val="1"/>
      <w:numFmt w:val="decimal"/>
      <w:lvlText w:val="%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3.%4.%5.%6.%7.%8.%9."/>
      <w:lvlJc w:val="left"/>
      <w:rPr>
        <w:rFonts w:cs="Times New Roman"/>
      </w:rPr>
    </w:lvl>
  </w:abstractNum>
  <w:abstractNum w:abstractNumId="5">
    <w:nsid w:val="7D85319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compat/>
  <w:rsids>
    <w:rsidRoot w:val="00C57847"/>
    <w:rsid w:val="00000E33"/>
    <w:rsid w:val="00001FFD"/>
    <w:rsid w:val="00003680"/>
    <w:rsid w:val="00005FDD"/>
    <w:rsid w:val="00013195"/>
    <w:rsid w:val="00013DFA"/>
    <w:rsid w:val="000140AF"/>
    <w:rsid w:val="00014C1D"/>
    <w:rsid w:val="00016525"/>
    <w:rsid w:val="00016624"/>
    <w:rsid w:val="000205E2"/>
    <w:rsid w:val="000260AC"/>
    <w:rsid w:val="00031056"/>
    <w:rsid w:val="000336FB"/>
    <w:rsid w:val="000366DC"/>
    <w:rsid w:val="0004424C"/>
    <w:rsid w:val="00044FB0"/>
    <w:rsid w:val="00045C9B"/>
    <w:rsid w:val="00047201"/>
    <w:rsid w:val="00051B8B"/>
    <w:rsid w:val="00057D74"/>
    <w:rsid w:val="0006038D"/>
    <w:rsid w:val="0006498C"/>
    <w:rsid w:val="000670DD"/>
    <w:rsid w:val="000672B5"/>
    <w:rsid w:val="00071659"/>
    <w:rsid w:val="00071A41"/>
    <w:rsid w:val="00074A05"/>
    <w:rsid w:val="00083507"/>
    <w:rsid w:val="000904F1"/>
    <w:rsid w:val="00091348"/>
    <w:rsid w:val="000922FD"/>
    <w:rsid w:val="000B643F"/>
    <w:rsid w:val="000C0514"/>
    <w:rsid w:val="000C20C5"/>
    <w:rsid w:val="000C21C3"/>
    <w:rsid w:val="000C7896"/>
    <w:rsid w:val="000D063E"/>
    <w:rsid w:val="000E12CB"/>
    <w:rsid w:val="000F210E"/>
    <w:rsid w:val="000F362F"/>
    <w:rsid w:val="000F5A18"/>
    <w:rsid w:val="000F72CE"/>
    <w:rsid w:val="001024ED"/>
    <w:rsid w:val="00104DF3"/>
    <w:rsid w:val="00105ED8"/>
    <w:rsid w:val="0010670A"/>
    <w:rsid w:val="001148E3"/>
    <w:rsid w:val="00120FB6"/>
    <w:rsid w:val="001238DC"/>
    <w:rsid w:val="00130CBC"/>
    <w:rsid w:val="00131259"/>
    <w:rsid w:val="00133B5E"/>
    <w:rsid w:val="001376AD"/>
    <w:rsid w:val="0014013D"/>
    <w:rsid w:val="00147039"/>
    <w:rsid w:val="00147112"/>
    <w:rsid w:val="001503E6"/>
    <w:rsid w:val="0016378F"/>
    <w:rsid w:val="00165391"/>
    <w:rsid w:val="00171FA7"/>
    <w:rsid w:val="00172A43"/>
    <w:rsid w:val="001756F9"/>
    <w:rsid w:val="00185BC0"/>
    <w:rsid w:val="00186273"/>
    <w:rsid w:val="00187F25"/>
    <w:rsid w:val="00190759"/>
    <w:rsid w:val="001932F5"/>
    <w:rsid w:val="001B2278"/>
    <w:rsid w:val="001B2405"/>
    <w:rsid w:val="001B36B2"/>
    <w:rsid w:val="001C2033"/>
    <w:rsid w:val="001D4846"/>
    <w:rsid w:val="001D4D7D"/>
    <w:rsid w:val="001D72BB"/>
    <w:rsid w:val="001F3129"/>
    <w:rsid w:val="001F5D91"/>
    <w:rsid w:val="001F6F19"/>
    <w:rsid w:val="001F7E38"/>
    <w:rsid w:val="00212B7B"/>
    <w:rsid w:val="0023088F"/>
    <w:rsid w:val="00234A8B"/>
    <w:rsid w:val="00236CD8"/>
    <w:rsid w:val="0024477F"/>
    <w:rsid w:val="00246EA5"/>
    <w:rsid w:val="00252C98"/>
    <w:rsid w:val="002577B8"/>
    <w:rsid w:val="002649FF"/>
    <w:rsid w:val="00273D1A"/>
    <w:rsid w:val="00275616"/>
    <w:rsid w:val="002779CE"/>
    <w:rsid w:val="00282BC4"/>
    <w:rsid w:val="00283EB5"/>
    <w:rsid w:val="00287A42"/>
    <w:rsid w:val="00290320"/>
    <w:rsid w:val="002916DB"/>
    <w:rsid w:val="002A02AA"/>
    <w:rsid w:val="002A5770"/>
    <w:rsid w:val="002B1230"/>
    <w:rsid w:val="002C7F39"/>
    <w:rsid w:val="002D1BE9"/>
    <w:rsid w:val="002D5CDD"/>
    <w:rsid w:val="002D7223"/>
    <w:rsid w:val="002D788A"/>
    <w:rsid w:val="002E3204"/>
    <w:rsid w:val="002E39FA"/>
    <w:rsid w:val="002E4F1A"/>
    <w:rsid w:val="002F064C"/>
    <w:rsid w:val="002F1EB5"/>
    <w:rsid w:val="002F215D"/>
    <w:rsid w:val="002F4044"/>
    <w:rsid w:val="00312F19"/>
    <w:rsid w:val="00316774"/>
    <w:rsid w:val="0031720E"/>
    <w:rsid w:val="0031769F"/>
    <w:rsid w:val="00320891"/>
    <w:rsid w:val="00331DEF"/>
    <w:rsid w:val="0034294A"/>
    <w:rsid w:val="00365B5F"/>
    <w:rsid w:val="003673C4"/>
    <w:rsid w:val="00373741"/>
    <w:rsid w:val="00374B4C"/>
    <w:rsid w:val="003825E5"/>
    <w:rsid w:val="00384A5C"/>
    <w:rsid w:val="00396E06"/>
    <w:rsid w:val="00397FCD"/>
    <w:rsid w:val="003A1903"/>
    <w:rsid w:val="003A229C"/>
    <w:rsid w:val="003A44CA"/>
    <w:rsid w:val="003A7C52"/>
    <w:rsid w:val="003B0844"/>
    <w:rsid w:val="003B3C9F"/>
    <w:rsid w:val="003B6E46"/>
    <w:rsid w:val="003C38B6"/>
    <w:rsid w:val="003C4525"/>
    <w:rsid w:val="003C64BF"/>
    <w:rsid w:val="003D0B19"/>
    <w:rsid w:val="003D2F62"/>
    <w:rsid w:val="003D3C1E"/>
    <w:rsid w:val="003E30A4"/>
    <w:rsid w:val="003E405D"/>
    <w:rsid w:val="003E44F8"/>
    <w:rsid w:val="003F0EF1"/>
    <w:rsid w:val="003F4F47"/>
    <w:rsid w:val="004022B6"/>
    <w:rsid w:val="0040671A"/>
    <w:rsid w:val="004126B9"/>
    <w:rsid w:val="0041665E"/>
    <w:rsid w:val="0041775E"/>
    <w:rsid w:val="00424829"/>
    <w:rsid w:val="004273A0"/>
    <w:rsid w:val="00441A55"/>
    <w:rsid w:val="00443018"/>
    <w:rsid w:val="0044752B"/>
    <w:rsid w:val="00453FE3"/>
    <w:rsid w:val="0046390A"/>
    <w:rsid w:val="0046755E"/>
    <w:rsid w:val="00472366"/>
    <w:rsid w:val="00474B57"/>
    <w:rsid w:val="00474BA6"/>
    <w:rsid w:val="004805A1"/>
    <w:rsid w:val="00482AF0"/>
    <w:rsid w:val="004925AF"/>
    <w:rsid w:val="00494802"/>
    <w:rsid w:val="00494F21"/>
    <w:rsid w:val="004A13DD"/>
    <w:rsid w:val="004A27F9"/>
    <w:rsid w:val="004B2327"/>
    <w:rsid w:val="004B4255"/>
    <w:rsid w:val="004B6875"/>
    <w:rsid w:val="004C031E"/>
    <w:rsid w:val="004E2815"/>
    <w:rsid w:val="004E2E1C"/>
    <w:rsid w:val="004F6CDC"/>
    <w:rsid w:val="005018F7"/>
    <w:rsid w:val="00502D70"/>
    <w:rsid w:val="00507671"/>
    <w:rsid w:val="00512ECC"/>
    <w:rsid w:val="00514F6A"/>
    <w:rsid w:val="0052306A"/>
    <w:rsid w:val="00527DA1"/>
    <w:rsid w:val="00535FE1"/>
    <w:rsid w:val="00541455"/>
    <w:rsid w:val="00543049"/>
    <w:rsid w:val="0055774B"/>
    <w:rsid w:val="00567EC6"/>
    <w:rsid w:val="00570A4F"/>
    <w:rsid w:val="005742A6"/>
    <w:rsid w:val="00575D17"/>
    <w:rsid w:val="00581446"/>
    <w:rsid w:val="00582812"/>
    <w:rsid w:val="00592D1C"/>
    <w:rsid w:val="00597D72"/>
    <w:rsid w:val="005A3090"/>
    <w:rsid w:val="005B1500"/>
    <w:rsid w:val="005B177A"/>
    <w:rsid w:val="005B5D6F"/>
    <w:rsid w:val="005B698C"/>
    <w:rsid w:val="005C56AC"/>
    <w:rsid w:val="005D1862"/>
    <w:rsid w:val="005D246B"/>
    <w:rsid w:val="005D3780"/>
    <w:rsid w:val="005D6A0A"/>
    <w:rsid w:val="005D75EF"/>
    <w:rsid w:val="005E16CF"/>
    <w:rsid w:val="005F2C1E"/>
    <w:rsid w:val="005F3557"/>
    <w:rsid w:val="005F4FE7"/>
    <w:rsid w:val="005F55F6"/>
    <w:rsid w:val="005F669F"/>
    <w:rsid w:val="005F73F2"/>
    <w:rsid w:val="005F782C"/>
    <w:rsid w:val="00601691"/>
    <w:rsid w:val="006047E0"/>
    <w:rsid w:val="00607C43"/>
    <w:rsid w:val="00616160"/>
    <w:rsid w:val="0062508E"/>
    <w:rsid w:val="00637595"/>
    <w:rsid w:val="00637875"/>
    <w:rsid w:val="00637FEB"/>
    <w:rsid w:val="00642C04"/>
    <w:rsid w:val="006453AB"/>
    <w:rsid w:val="00652B6D"/>
    <w:rsid w:val="006553FB"/>
    <w:rsid w:val="00660221"/>
    <w:rsid w:val="00660EC7"/>
    <w:rsid w:val="00675F93"/>
    <w:rsid w:val="00677C31"/>
    <w:rsid w:val="00684C63"/>
    <w:rsid w:val="006914F5"/>
    <w:rsid w:val="00692DB1"/>
    <w:rsid w:val="0069509C"/>
    <w:rsid w:val="006953A0"/>
    <w:rsid w:val="00697296"/>
    <w:rsid w:val="006A1E5A"/>
    <w:rsid w:val="006A3A5E"/>
    <w:rsid w:val="006A78F1"/>
    <w:rsid w:val="006B5A2E"/>
    <w:rsid w:val="006C29F2"/>
    <w:rsid w:val="006D051A"/>
    <w:rsid w:val="006D0899"/>
    <w:rsid w:val="006D18B0"/>
    <w:rsid w:val="006E5D60"/>
    <w:rsid w:val="006F02E2"/>
    <w:rsid w:val="006F3D8F"/>
    <w:rsid w:val="007018CB"/>
    <w:rsid w:val="0071290E"/>
    <w:rsid w:val="007201CE"/>
    <w:rsid w:val="007202BC"/>
    <w:rsid w:val="00726D92"/>
    <w:rsid w:val="0074093C"/>
    <w:rsid w:val="00743792"/>
    <w:rsid w:val="007453FC"/>
    <w:rsid w:val="007478B3"/>
    <w:rsid w:val="0075275F"/>
    <w:rsid w:val="00755FD8"/>
    <w:rsid w:val="0076059A"/>
    <w:rsid w:val="007644D4"/>
    <w:rsid w:val="00765609"/>
    <w:rsid w:val="00767453"/>
    <w:rsid w:val="007675CA"/>
    <w:rsid w:val="00774404"/>
    <w:rsid w:val="0078123C"/>
    <w:rsid w:val="0078458E"/>
    <w:rsid w:val="00784DC5"/>
    <w:rsid w:val="007850AC"/>
    <w:rsid w:val="007861B8"/>
    <w:rsid w:val="0079045E"/>
    <w:rsid w:val="007914C1"/>
    <w:rsid w:val="0079368F"/>
    <w:rsid w:val="007963CF"/>
    <w:rsid w:val="007C0028"/>
    <w:rsid w:val="007C64FC"/>
    <w:rsid w:val="007C6EE4"/>
    <w:rsid w:val="007D0846"/>
    <w:rsid w:val="007D6615"/>
    <w:rsid w:val="007D7BC8"/>
    <w:rsid w:val="007E27FD"/>
    <w:rsid w:val="007E7976"/>
    <w:rsid w:val="007F41E2"/>
    <w:rsid w:val="007F5FBB"/>
    <w:rsid w:val="00811A36"/>
    <w:rsid w:val="0081276E"/>
    <w:rsid w:val="008263CB"/>
    <w:rsid w:val="00826546"/>
    <w:rsid w:val="00831F27"/>
    <w:rsid w:val="00845510"/>
    <w:rsid w:val="00846038"/>
    <w:rsid w:val="00846229"/>
    <w:rsid w:val="00851D42"/>
    <w:rsid w:val="00864C86"/>
    <w:rsid w:val="008651FE"/>
    <w:rsid w:val="008752D6"/>
    <w:rsid w:val="00875526"/>
    <w:rsid w:val="008856DE"/>
    <w:rsid w:val="00890DA1"/>
    <w:rsid w:val="00893719"/>
    <w:rsid w:val="00895284"/>
    <w:rsid w:val="008C4C93"/>
    <w:rsid w:val="008D13E1"/>
    <w:rsid w:val="008D7AD6"/>
    <w:rsid w:val="008E403F"/>
    <w:rsid w:val="008F5028"/>
    <w:rsid w:val="008F69B3"/>
    <w:rsid w:val="00902123"/>
    <w:rsid w:val="00910969"/>
    <w:rsid w:val="00913F9E"/>
    <w:rsid w:val="0091553B"/>
    <w:rsid w:val="009215FC"/>
    <w:rsid w:val="00922BBF"/>
    <w:rsid w:val="00927A95"/>
    <w:rsid w:val="00930F35"/>
    <w:rsid w:val="00933851"/>
    <w:rsid w:val="0093487B"/>
    <w:rsid w:val="00935D4F"/>
    <w:rsid w:val="009609F3"/>
    <w:rsid w:val="0096770B"/>
    <w:rsid w:val="00992ED6"/>
    <w:rsid w:val="0099453C"/>
    <w:rsid w:val="009945FD"/>
    <w:rsid w:val="009A405F"/>
    <w:rsid w:val="009B273E"/>
    <w:rsid w:val="009B2CEA"/>
    <w:rsid w:val="009B397A"/>
    <w:rsid w:val="009B51E8"/>
    <w:rsid w:val="009B6CB8"/>
    <w:rsid w:val="009C56F3"/>
    <w:rsid w:val="009C77C2"/>
    <w:rsid w:val="009D399D"/>
    <w:rsid w:val="009E67D5"/>
    <w:rsid w:val="009E6F3B"/>
    <w:rsid w:val="009F47E4"/>
    <w:rsid w:val="00A000A5"/>
    <w:rsid w:val="00A02A79"/>
    <w:rsid w:val="00A07507"/>
    <w:rsid w:val="00A13BBD"/>
    <w:rsid w:val="00A1663E"/>
    <w:rsid w:val="00A2169F"/>
    <w:rsid w:val="00A332B3"/>
    <w:rsid w:val="00A33605"/>
    <w:rsid w:val="00A351A3"/>
    <w:rsid w:val="00A3723B"/>
    <w:rsid w:val="00A4371D"/>
    <w:rsid w:val="00A44CC5"/>
    <w:rsid w:val="00A5020A"/>
    <w:rsid w:val="00A5229E"/>
    <w:rsid w:val="00A543CC"/>
    <w:rsid w:val="00A60666"/>
    <w:rsid w:val="00A62F61"/>
    <w:rsid w:val="00A64C64"/>
    <w:rsid w:val="00A71F3A"/>
    <w:rsid w:val="00A72A1A"/>
    <w:rsid w:val="00A72B1C"/>
    <w:rsid w:val="00A86163"/>
    <w:rsid w:val="00AA5E49"/>
    <w:rsid w:val="00AA75C2"/>
    <w:rsid w:val="00AB2056"/>
    <w:rsid w:val="00AB6D7F"/>
    <w:rsid w:val="00AC7704"/>
    <w:rsid w:val="00AD4A88"/>
    <w:rsid w:val="00AD54F9"/>
    <w:rsid w:val="00AD6489"/>
    <w:rsid w:val="00AD6AB1"/>
    <w:rsid w:val="00AE27E3"/>
    <w:rsid w:val="00AE61DA"/>
    <w:rsid w:val="00AE6786"/>
    <w:rsid w:val="00AE74AE"/>
    <w:rsid w:val="00B01DC4"/>
    <w:rsid w:val="00B02376"/>
    <w:rsid w:val="00B04085"/>
    <w:rsid w:val="00B11A86"/>
    <w:rsid w:val="00B2727E"/>
    <w:rsid w:val="00B27C3F"/>
    <w:rsid w:val="00B3053E"/>
    <w:rsid w:val="00B367B9"/>
    <w:rsid w:val="00B41E2C"/>
    <w:rsid w:val="00B45E1F"/>
    <w:rsid w:val="00B46426"/>
    <w:rsid w:val="00B5032D"/>
    <w:rsid w:val="00B50A8E"/>
    <w:rsid w:val="00B524DA"/>
    <w:rsid w:val="00B54934"/>
    <w:rsid w:val="00B55E6F"/>
    <w:rsid w:val="00B56DC6"/>
    <w:rsid w:val="00B60C08"/>
    <w:rsid w:val="00B61A65"/>
    <w:rsid w:val="00B87056"/>
    <w:rsid w:val="00BA14A3"/>
    <w:rsid w:val="00BA4A05"/>
    <w:rsid w:val="00BB528F"/>
    <w:rsid w:val="00BB7EAE"/>
    <w:rsid w:val="00BC3194"/>
    <w:rsid w:val="00BC53BC"/>
    <w:rsid w:val="00BD32BA"/>
    <w:rsid w:val="00BD3A40"/>
    <w:rsid w:val="00BD7213"/>
    <w:rsid w:val="00BE5BE5"/>
    <w:rsid w:val="00BF5C44"/>
    <w:rsid w:val="00C1397F"/>
    <w:rsid w:val="00C16231"/>
    <w:rsid w:val="00C30457"/>
    <w:rsid w:val="00C343D6"/>
    <w:rsid w:val="00C36018"/>
    <w:rsid w:val="00C40451"/>
    <w:rsid w:val="00C42E68"/>
    <w:rsid w:val="00C46398"/>
    <w:rsid w:val="00C50F14"/>
    <w:rsid w:val="00C53697"/>
    <w:rsid w:val="00C57847"/>
    <w:rsid w:val="00C732E2"/>
    <w:rsid w:val="00C7486E"/>
    <w:rsid w:val="00C75D46"/>
    <w:rsid w:val="00C9360A"/>
    <w:rsid w:val="00C96D26"/>
    <w:rsid w:val="00CA478E"/>
    <w:rsid w:val="00CB289F"/>
    <w:rsid w:val="00CD2CA1"/>
    <w:rsid w:val="00CD6190"/>
    <w:rsid w:val="00D032BE"/>
    <w:rsid w:val="00D036FB"/>
    <w:rsid w:val="00D04B3C"/>
    <w:rsid w:val="00D04CAB"/>
    <w:rsid w:val="00D106CF"/>
    <w:rsid w:val="00D32035"/>
    <w:rsid w:val="00D33E47"/>
    <w:rsid w:val="00D511E1"/>
    <w:rsid w:val="00D5255B"/>
    <w:rsid w:val="00D54737"/>
    <w:rsid w:val="00D55892"/>
    <w:rsid w:val="00D646B8"/>
    <w:rsid w:val="00D660A5"/>
    <w:rsid w:val="00D665BB"/>
    <w:rsid w:val="00D6782D"/>
    <w:rsid w:val="00D762BC"/>
    <w:rsid w:val="00D85C6C"/>
    <w:rsid w:val="00D8757A"/>
    <w:rsid w:val="00DA159A"/>
    <w:rsid w:val="00DB0593"/>
    <w:rsid w:val="00DB51B4"/>
    <w:rsid w:val="00DC2280"/>
    <w:rsid w:val="00DC6B05"/>
    <w:rsid w:val="00DC6E02"/>
    <w:rsid w:val="00DD160F"/>
    <w:rsid w:val="00DE254E"/>
    <w:rsid w:val="00DF073E"/>
    <w:rsid w:val="00DF07E6"/>
    <w:rsid w:val="00DF2302"/>
    <w:rsid w:val="00DF7F36"/>
    <w:rsid w:val="00E00B17"/>
    <w:rsid w:val="00E01D32"/>
    <w:rsid w:val="00E03018"/>
    <w:rsid w:val="00E16362"/>
    <w:rsid w:val="00E16997"/>
    <w:rsid w:val="00E21046"/>
    <w:rsid w:val="00E273C2"/>
    <w:rsid w:val="00E34E70"/>
    <w:rsid w:val="00E377A0"/>
    <w:rsid w:val="00E433F4"/>
    <w:rsid w:val="00E5302F"/>
    <w:rsid w:val="00E55DD6"/>
    <w:rsid w:val="00E626BA"/>
    <w:rsid w:val="00E6541C"/>
    <w:rsid w:val="00E70324"/>
    <w:rsid w:val="00E70F2D"/>
    <w:rsid w:val="00E72CF2"/>
    <w:rsid w:val="00E73C8E"/>
    <w:rsid w:val="00E74EEA"/>
    <w:rsid w:val="00E9399E"/>
    <w:rsid w:val="00EA2524"/>
    <w:rsid w:val="00EA7C22"/>
    <w:rsid w:val="00EB6DA6"/>
    <w:rsid w:val="00EC0E2D"/>
    <w:rsid w:val="00EC28FA"/>
    <w:rsid w:val="00EC424C"/>
    <w:rsid w:val="00EC67BC"/>
    <w:rsid w:val="00ED2598"/>
    <w:rsid w:val="00ED676B"/>
    <w:rsid w:val="00EE0759"/>
    <w:rsid w:val="00EE197F"/>
    <w:rsid w:val="00EF0AE3"/>
    <w:rsid w:val="00EF570F"/>
    <w:rsid w:val="00EF6DEF"/>
    <w:rsid w:val="00F00160"/>
    <w:rsid w:val="00F0039E"/>
    <w:rsid w:val="00F02381"/>
    <w:rsid w:val="00F0310D"/>
    <w:rsid w:val="00F07610"/>
    <w:rsid w:val="00F07D8B"/>
    <w:rsid w:val="00F14D81"/>
    <w:rsid w:val="00F168CF"/>
    <w:rsid w:val="00F17E80"/>
    <w:rsid w:val="00F319BB"/>
    <w:rsid w:val="00F55F87"/>
    <w:rsid w:val="00F623C8"/>
    <w:rsid w:val="00F63444"/>
    <w:rsid w:val="00F67A52"/>
    <w:rsid w:val="00F70133"/>
    <w:rsid w:val="00F713DC"/>
    <w:rsid w:val="00F71437"/>
    <w:rsid w:val="00F75B7B"/>
    <w:rsid w:val="00F771CD"/>
    <w:rsid w:val="00F81D49"/>
    <w:rsid w:val="00F82061"/>
    <w:rsid w:val="00F82FD4"/>
    <w:rsid w:val="00F935D6"/>
    <w:rsid w:val="00F96FD2"/>
    <w:rsid w:val="00FA28AC"/>
    <w:rsid w:val="00FA369A"/>
    <w:rsid w:val="00FA5F9C"/>
    <w:rsid w:val="00FB41C6"/>
    <w:rsid w:val="00FC317E"/>
    <w:rsid w:val="00FD59FF"/>
    <w:rsid w:val="00FE37D7"/>
    <w:rsid w:val="00FE4C58"/>
    <w:rsid w:val="00FF1BD5"/>
    <w:rsid w:val="00FF50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1D"/>
    <w:pPr>
      <w:tabs>
        <w:tab w:val="right" w:pos="7100"/>
      </w:tabs>
      <w:spacing w:line="264" w:lineRule="auto"/>
      <w:jc w:val="both"/>
    </w:pPr>
    <w:rPr>
      <w:sz w:val="18"/>
      <w:szCs w:val="18"/>
      <w:lang w:val="fr-FR"/>
    </w:rPr>
  </w:style>
  <w:style w:type="paragraph" w:styleId="Ttulo1">
    <w:name w:val="heading 1"/>
    <w:basedOn w:val="normal0"/>
    <w:next w:val="normal0"/>
    <w:link w:val="Ttulo1Char"/>
    <w:uiPriority w:val="99"/>
    <w:qFormat/>
    <w:rsid w:val="00C57847"/>
    <w:pPr>
      <w:keepNext/>
      <w:spacing w:before="240" w:after="120" w:line="240" w:lineRule="auto"/>
      <w:outlineLvl w:val="0"/>
    </w:pPr>
    <w:rPr>
      <w:b/>
      <w:color w:val="000000"/>
      <w:sz w:val="20"/>
      <w:szCs w:val="20"/>
    </w:rPr>
  </w:style>
  <w:style w:type="paragraph" w:styleId="Ttulo2">
    <w:name w:val="heading 2"/>
    <w:basedOn w:val="normal0"/>
    <w:next w:val="normal0"/>
    <w:link w:val="Ttulo2Char"/>
    <w:uiPriority w:val="99"/>
    <w:qFormat/>
    <w:rsid w:val="00C57847"/>
    <w:pPr>
      <w:keepNext/>
      <w:keepLines/>
      <w:spacing w:before="200"/>
      <w:outlineLvl w:val="1"/>
    </w:pPr>
    <w:rPr>
      <w:rFonts w:ascii="Cambria" w:hAnsi="Cambria" w:cs="Cambria"/>
      <w:b/>
      <w:color w:val="4F81BD"/>
      <w:sz w:val="26"/>
      <w:szCs w:val="26"/>
    </w:rPr>
  </w:style>
  <w:style w:type="paragraph" w:styleId="Ttulo3">
    <w:name w:val="heading 3"/>
    <w:basedOn w:val="normal0"/>
    <w:next w:val="normal0"/>
    <w:link w:val="Ttulo3Char"/>
    <w:uiPriority w:val="99"/>
    <w:qFormat/>
    <w:rsid w:val="00C57847"/>
    <w:pPr>
      <w:keepNext/>
      <w:keepLines/>
      <w:spacing w:before="200"/>
      <w:outlineLvl w:val="2"/>
    </w:pPr>
    <w:rPr>
      <w:rFonts w:ascii="Cambria" w:hAnsi="Cambria" w:cs="Cambria"/>
      <w:b/>
      <w:color w:val="4F81BD"/>
    </w:rPr>
  </w:style>
  <w:style w:type="paragraph" w:styleId="Ttulo4">
    <w:name w:val="heading 4"/>
    <w:basedOn w:val="normal0"/>
    <w:next w:val="normal0"/>
    <w:link w:val="Ttulo4Char"/>
    <w:uiPriority w:val="99"/>
    <w:qFormat/>
    <w:rsid w:val="00C57847"/>
    <w:pPr>
      <w:keepNext/>
      <w:keepLines/>
      <w:spacing w:before="200"/>
      <w:outlineLvl w:val="3"/>
    </w:pPr>
    <w:rPr>
      <w:rFonts w:ascii="Cambria" w:hAnsi="Cambria" w:cs="Cambria"/>
      <w:b/>
      <w:i/>
      <w:color w:val="4F81BD"/>
    </w:rPr>
  </w:style>
  <w:style w:type="paragraph" w:styleId="Ttulo5">
    <w:name w:val="heading 5"/>
    <w:basedOn w:val="normal0"/>
    <w:next w:val="normal0"/>
    <w:link w:val="Ttulo5Char"/>
    <w:uiPriority w:val="99"/>
    <w:qFormat/>
    <w:rsid w:val="00C57847"/>
    <w:pPr>
      <w:keepNext/>
      <w:keepLines/>
      <w:spacing w:before="200"/>
      <w:outlineLvl w:val="4"/>
    </w:pPr>
    <w:rPr>
      <w:rFonts w:ascii="Cambria" w:hAnsi="Cambria" w:cs="Cambria"/>
      <w:color w:val="243F60"/>
    </w:rPr>
  </w:style>
  <w:style w:type="paragraph" w:styleId="Ttulo6">
    <w:name w:val="heading 6"/>
    <w:basedOn w:val="normal0"/>
    <w:next w:val="normal0"/>
    <w:link w:val="Ttulo6Char"/>
    <w:uiPriority w:val="99"/>
    <w:qFormat/>
    <w:rsid w:val="00C57847"/>
    <w:pPr>
      <w:keepNext/>
      <w:keepLines/>
      <w:spacing w:before="200"/>
      <w:outlineLvl w:val="5"/>
    </w:pPr>
    <w:rPr>
      <w:rFonts w:ascii="Cambria" w:hAnsi="Cambria" w:cs="Cambria"/>
      <w:i/>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935D6"/>
    <w:rPr>
      <w:rFonts w:ascii="Cambria" w:hAnsi="Cambria" w:cs="Times New Roman"/>
      <w:b/>
      <w:bCs/>
      <w:kern w:val="32"/>
      <w:sz w:val="32"/>
      <w:szCs w:val="32"/>
      <w:lang w:val="fr-FR"/>
    </w:rPr>
  </w:style>
  <w:style w:type="character" w:customStyle="1" w:styleId="Ttulo2Char">
    <w:name w:val="Título 2 Char"/>
    <w:basedOn w:val="Fontepargpadro"/>
    <w:link w:val="Ttulo2"/>
    <w:uiPriority w:val="99"/>
    <w:semiHidden/>
    <w:locked/>
    <w:rsid w:val="00F935D6"/>
    <w:rPr>
      <w:rFonts w:ascii="Cambria" w:hAnsi="Cambria" w:cs="Times New Roman"/>
      <w:b/>
      <w:bCs/>
      <w:i/>
      <w:iCs/>
      <w:sz w:val="28"/>
      <w:szCs w:val="28"/>
      <w:lang w:val="fr-FR"/>
    </w:rPr>
  </w:style>
  <w:style w:type="character" w:customStyle="1" w:styleId="Ttulo3Char">
    <w:name w:val="Título 3 Char"/>
    <w:basedOn w:val="Fontepargpadro"/>
    <w:link w:val="Ttulo3"/>
    <w:uiPriority w:val="99"/>
    <w:semiHidden/>
    <w:locked/>
    <w:rsid w:val="00F935D6"/>
    <w:rPr>
      <w:rFonts w:ascii="Cambria" w:hAnsi="Cambria" w:cs="Times New Roman"/>
      <w:b/>
      <w:bCs/>
      <w:sz w:val="26"/>
      <w:szCs w:val="26"/>
      <w:lang w:val="fr-FR"/>
    </w:rPr>
  </w:style>
  <w:style w:type="character" w:customStyle="1" w:styleId="Ttulo4Char">
    <w:name w:val="Título 4 Char"/>
    <w:basedOn w:val="Fontepargpadro"/>
    <w:link w:val="Ttulo4"/>
    <w:uiPriority w:val="99"/>
    <w:semiHidden/>
    <w:locked/>
    <w:rsid w:val="00F935D6"/>
    <w:rPr>
      <w:rFonts w:ascii="Calibri" w:hAnsi="Calibri" w:cs="Times New Roman"/>
      <w:b/>
      <w:bCs/>
      <w:sz w:val="28"/>
      <w:szCs w:val="28"/>
      <w:lang w:val="fr-FR"/>
    </w:rPr>
  </w:style>
  <w:style w:type="character" w:customStyle="1" w:styleId="Ttulo5Char">
    <w:name w:val="Título 5 Char"/>
    <w:basedOn w:val="Fontepargpadro"/>
    <w:link w:val="Ttulo5"/>
    <w:uiPriority w:val="99"/>
    <w:semiHidden/>
    <w:locked/>
    <w:rsid w:val="00F935D6"/>
    <w:rPr>
      <w:rFonts w:ascii="Calibri" w:hAnsi="Calibri" w:cs="Times New Roman"/>
      <w:b/>
      <w:bCs/>
      <w:i/>
      <w:iCs/>
      <w:sz w:val="26"/>
      <w:szCs w:val="26"/>
      <w:lang w:val="fr-FR"/>
    </w:rPr>
  </w:style>
  <w:style w:type="character" w:customStyle="1" w:styleId="Ttulo6Char">
    <w:name w:val="Título 6 Char"/>
    <w:basedOn w:val="Fontepargpadro"/>
    <w:link w:val="Ttulo6"/>
    <w:uiPriority w:val="99"/>
    <w:semiHidden/>
    <w:locked/>
    <w:rsid w:val="00F935D6"/>
    <w:rPr>
      <w:rFonts w:ascii="Calibri" w:hAnsi="Calibri" w:cs="Times New Roman"/>
      <w:b/>
      <w:bCs/>
      <w:lang w:val="fr-FR"/>
    </w:rPr>
  </w:style>
  <w:style w:type="paragraph" w:customStyle="1" w:styleId="normal0">
    <w:name w:val="normal"/>
    <w:uiPriority w:val="99"/>
    <w:rsid w:val="00C57847"/>
    <w:pPr>
      <w:tabs>
        <w:tab w:val="right" w:pos="7100"/>
      </w:tabs>
      <w:spacing w:line="264" w:lineRule="auto"/>
      <w:jc w:val="both"/>
    </w:pPr>
    <w:rPr>
      <w:sz w:val="18"/>
      <w:szCs w:val="18"/>
      <w:lang w:val="fr-FR"/>
    </w:rPr>
  </w:style>
  <w:style w:type="paragraph" w:styleId="Ttulo">
    <w:name w:val="Title"/>
    <w:basedOn w:val="normal0"/>
    <w:next w:val="normal0"/>
    <w:link w:val="TtuloChar"/>
    <w:uiPriority w:val="99"/>
    <w:qFormat/>
    <w:rsid w:val="00C57847"/>
    <w:pPr>
      <w:keepNext/>
      <w:keepLines/>
      <w:spacing w:before="480" w:after="120"/>
    </w:pPr>
    <w:rPr>
      <w:b/>
      <w:sz w:val="72"/>
      <w:szCs w:val="72"/>
    </w:rPr>
  </w:style>
  <w:style w:type="character" w:customStyle="1" w:styleId="TtuloChar">
    <w:name w:val="Título Char"/>
    <w:basedOn w:val="Fontepargpadro"/>
    <w:link w:val="Ttulo"/>
    <w:uiPriority w:val="99"/>
    <w:locked/>
    <w:rsid w:val="00F935D6"/>
    <w:rPr>
      <w:rFonts w:ascii="Cambria" w:hAnsi="Cambria" w:cs="Times New Roman"/>
      <w:b/>
      <w:bCs/>
      <w:kern w:val="28"/>
      <w:sz w:val="32"/>
      <w:szCs w:val="32"/>
      <w:lang w:val="fr-FR"/>
    </w:rPr>
  </w:style>
  <w:style w:type="paragraph" w:styleId="Subttulo">
    <w:name w:val="Subtitle"/>
    <w:basedOn w:val="normal0"/>
    <w:next w:val="normal0"/>
    <w:link w:val="SubttuloChar"/>
    <w:uiPriority w:val="99"/>
    <w:qFormat/>
    <w:rsid w:val="00C57847"/>
    <w:pPr>
      <w:keepNext/>
      <w:keepLines/>
      <w:spacing w:before="360" w:after="80"/>
    </w:pPr>
    <w:rPr>
      <w:rFonts w:ascii="Georgia" w:hAnsi="Georgia" w:cs="Georgia"/>
      <w:i/>
      <w:color w:val="666666"/>
      <w:sz w:val="48"/>
      <w:szCs w:val="48"/>
    </w:rPr>
  </w:style>
  <w:style w:type="character" w:customStyle="1" w:styleId="SubttuloChar">
    <w:name w:val="Subtítulo Char"/>
    <w:basedOn w:val="Fontepargpadro"/>
    <w:link w:val="Subttulo"/>
    <w:uiPriority w:val="99"/>
    <w:locked/>
    <w:rsid w:val="00F935D6"/>
    <w:rPr>
      <w:rFonts w:ascii="Cambria" w:hAnsi="Cambria" w:cs="Times New Roman"/>
      <w:sz w:val="24"/>
      <w:szCs w:val="24"/>
      <w:lang w:val="fr-FR"/>
    </w:rPr>
  </w:style>
  <w:style w:type="table" w:customStyle="1" w:styleId="Estilo">
    <w:name w:val="Estilo"/>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8">
    <w:name w:val="Estilo18"/>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7">
    <w:name w:val="Estilo17"/>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6">
    <w:name w:val="Estilo16"/>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5">
    <w:name w:val="Estilo15"/>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4">
    <w:name w:val="Estilo14"/>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3">
    <w:name w:val="Estilo13"/>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2">
    <w:name w:val="Estilo12"/>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1">
    <w:name w:val="Estilo11"/>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0">
    <w:name w:val="Estilo10"/>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9">
    <w:name w:val="Estilo9"/>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8">
    <w:name w:val="Estilo8"/>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7">
    <w:name w:val="Estilo7"/>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6">
    <w:name w:val="Estilo6"/>
    <w:uiPriority w:val="99"/>
    <w:rsid w:val="00C57847"/>
    <w:tblPr>
      <w:tblStyleRowBandSize w:val="1"/>
      <w:tblStyleColBandSize w:val="1"/>
      <w:tblInd w:w="0" w:type="dxa"/>
      <w:tblCellMar>
        <w:top w:w="0" w:type="dxa"/>
        <w:left w:w="0" w:type="dxa"/>
        <w:bottom w:w="0" w:type="dxa"/>
        <w:right w:w="0" w:type="dxa"/>
      </w:tblCellMar>
    </w:tblPr>
  </w:style>
  <w:style w:type="table" w:customStyle="1" w:styleId="Estilo5">
    <w:name w:val="Estilo5"/>
    <w:uiPriority w:val="99"/>
    <w:rsid w:val="00C57847"/>
    <w:tblPr>
      <w:tblStyleRowBandSize w:val="1"/>
      <w:tblStyleColBandSize w:val="1"/>
      <w:tblInd w:w="0" w:type="dxa"/>
      <w:tblCellMar>
        <w:top w:w="0" w:type="dxa"/>
        <w:left w:w="0" w:type="dxa"/>
        <w:bottom w:w="0" w:type="dxa"/>
        <w:right w:w="0" w:type="dxa"/>
      </w:tblCellMar>
    </w:tblPr>
  </w:style>
  <w:style w:type="table" w:customStyle="1" w:styleId="Estilo4">
    <w:name w:val="Estilo4"/>
    <w:uiPriority w:val="99"/>
    <w:rsid w:val="00C57847"/>
    <w:tblPr>
      <w:tblStyleRowBandSize w:val="1"/>
      <w:tblStyleColBandSize w:val="1"/>
      <w:tblInd w:w="0" w:type="dxa"/>
      <w:tblCellMar>
        <w:top w:w="0" w:type="dxa"/>
        <w:left w:w="0" w:type="dxa"/>
        <w:bottom w:w="0" w:type="dxa"/>
        <w:right w:w="0" w:type="dxa"/>
      </w:tblCellMar>
    </w:tblPr>
  </w:style>
  <w:style w:type="table" w:customStyle="1" w:styleId="Estilo3">
    <w:name w:val="Estilo3"/>
    <w:uiPriority w:val="99"/>
    <w:rsid w:val="00C57847"/>
    <w:tblPr>
      <w:tblStyleRowBandSize w:val="1"/>
      <w:tblStyleColBandSize w:val="1"/>
      <w:tblInd w:w="0" w:type="dxa"/>
      <w:tblCellMar>
        <w:top w:w="0" w:type="dxa"/>
        <w:left w:w="0" w:type="dxa"/>
        <w:bottom w:w="0" w:type="dxa"/>
        <w:right w:w="0" w:type="dxa"/>
      </w:tblCellMar>
    </w:tblPr>
  </w:style>
  <w:style w:type="table" w:customStyle="1" w:styleId="Estilo2">
    <w:name w:val="Estilo2"/>
    <w:uiPriority w:val="99"/>
    <w:rsid w:val="00C57847"/>
    <w:tblPr>
      <w:tblStyleRowBandSize w:val="1"/>
      <w:tblStyleColBandSize w:val="1"/>
      <w:tblInd w:w="0" w:type="dxa"/>
      <w:tblCellMar>
        <w:top w:w="0" w:type="dxa"/>
        <w:left w:w="115" w:type="dxa"/>
        <w:bottom w:w="0" w:type="dxa"/>
        <w:right w:w="115" w:type="dxa"/>
      </w:tblCellMar>
    </w:tblPr>
  </w:style>
  <w:style w:type="table" w:customStyle="1" w:styleId="Estilo1">
    <w:name w:val="Estilo1"/>
    <w:uiPriority w:val="99"/>
    <w:rsid w:val="00C57847"/>
    <w:tblPr>
      <w:tblStyleRowBandSize w:val="1"/>
      <w:tblStyleColBandSize w:val="1"/>
      <w:tblInd w:w="0" w:type="dxa"/>
      <w:tblCellMar>
        <w:top w:w="0" w:type="dxa"/>
        <w:left w:w="115" w:type="dxa"/>
        <w:bottom w:w="0" w:type="dxa"/>
        <w:right w:w="115" w:type="dxa"/>
      </w:tblCellMar>
    </w:tblPr>
  </w:style>
  <w:style w:type="character" w:styleId="TextodoEspaoReservado">
    <w:name w:val="Placeholder Text"/>
    <w:basedOn w:val="Fontepargpadro"/>
    <w:uiPriority w:val="99"/>
    <w:semiHidden/>
    <w:rsid w:val="007202BC"/>
    <w:rPr>
      <w:color w:val="808080"/>
    </w:rPr>
  </w:style>
  <w:style w:type="character" w:customStyle="1" w:styleId="CETBodytextCarattere">
    <w:name w:val="CET Body text Carattere"/>
    <w:link w:val="CETBodytext"/>
    <w:locked/>
    <w:rsid w:val="008856DE"/>
    <w:rPr>
      <w:rFonts w:eastAsia="Times New Roman" w:cs="Times New Roman"/>
      <w:sz w:val="18"/>
      <w:lang w:val="en-US"/>
    </w:rPr>
  </w:style>
  <w:style w:type="paragraph" w:customStyle="1" w:styleId="CETBodytext">
    <w:name w:val="CET Body text"/>
    <w:link w:val="CETBodytextCarattere"/>
    <w:qFormat/>
    <w:rsid w:val="008856DE"/>
    <w:pPr>
      <w:tabs>
        <w:tab w:val="right" w:pos="7100"/>
      </w:tabs>
      <w:spacing w:line="264" w:lineRule="auto"/>
      <w:jc w:val="both"/>
    </w:pPr>
    <w:rPr>
      <w:rFonts w:eastAsia="Times New Roman" w:cs="Times New Roman"/>
      <w:sz w:val="18"/>
      <w:lang w:val="en-US"/>
    </w:rPr>
  </w:style>
  <w:style w:type="table" w:styleId="Tabelacomgrade">
    <w:name w:val="Table Grid"/>
    <w:basedOn w:val="Tabelanormal"/>
    <w:uiPriority w:val="59"/>
    <w:locked/>
    <w:rsid w:val="008856DE"/>
    <w:rPr>
      <w:rFonts w:asciiTheme="minorHAnsi" w:eastAsiaTheme="minorHAnsi" w:hAnsiTheme="minorHAnsi" w:cstheme="minorBidi"/>
      <w:sz w:val="22"/>
      <w:szCs w:val="22"/>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7006131">
      <w:bodyDiv w:val="1"/>
      <w:marLeft w:val="0"/>
      <w:marRight w:val="0"/>
      <w:marTop w:val="0"/>
      <w:marBottom w:val="0"/>
      <w:divBdr>
        <w:top w:val="none" w:sz="0" w:space="0" w:color="auto"/>
        <w:left w:val="none" w:sz="0" w:space="0" w:color="auto"/>
        <w:bottom w:val="none" w:sz="0" w:space="0" w:color="auto"/>
        <w:right w:val="none" w:sz="0" w:space="0" w:color="auto"/>
      </w:divBdr>
    </w:div>
    <w:div w:id="708185560">
      <w:bodyDiv w:val="1"/>
      <w:marLeft w:val="0"/>
      <w:marRight w:val="0"/>
      <w:marTop w:val="0"/>
      <w:marBottom w:val="0"/>
      <w:divBdr>
        <w:top w:val="none" w:sz="0" w:space="0" w:color="auto"/>
        <w:left w:val="none" w:sz="0" w:space="0" w:color="auto"/>
        <w:bottom w:val="none" w:sz="0" w:space="0" w:color="auto"/>
        <w:right w:val="none" w:sz="0" w:space="0" w:color="auto"/>
      </w:divBdr>
    </w:div>
    <w:div w:id="1236286027">
      <w:bodyDiv w:val="1"/>
      <w:marLeft w:val="0"/>
      <w:marRight w:val="0"/>
      <w:marTop w:val="0"/>
      <w:marBottom w:val="0"/>
      <w:divBdr>
        <w:top w:val="none" w:sz="0" w:space="0" w:color="auto"/>
        <w:left w:val="none" w:sz="0" w:space="0" w:color="auto"/>
        <w:bottom w:val="none" w:sz="0" w:space="0" w:color="auto"/>
        <w:right w:val="none" w:sz="0" w:space="0" w:color="auto"/>
      </w:divBdr>
    </w:div>
    <w:div w:id="1963461807">
      <w:bodyDiv w:val="1"/>
      <w:marLeft w:val="0"/>
      <w:marRight w:val="0"/>
      <w:marTop w:val="0"/>
      <w:marBottom w:val="0"/>
      <w:divBdr>
        <w:top w:val="none" w:sz="0" w:space="0" w:color="auto"/>
        <w:left w:val="none" w:sz="0" w:space="0" w:color="auto"/>
        <w:bottom w:val="none" w:sz="0" w:space="0" w:color="auto"/>
        <w:right w:val="none" w:sz="0" w:space="0" w:color="auto"/>
      </w:divBdr>
    </w:div>
    <w:div w:id="20459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o_Microsoft_Office_Word1.docx"/><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package" Target="embeddings/Documento_do_Microsoft_Office_Word3.docx"/><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package" Target="embeddings/Documento_do_Microsoft_Office_Word5.docx"/><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image" Target="media/image7.emf"/><Relationship Id="rId10" Type="http://schemas.openxmlformats.org/officeDocument/2006/relationships/package" Target="embeddings/Documento_do_Microsoft_Office_Word2.doc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package" Target="embeddings/Documento_do_Microsoft_Office_Word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3261</Words>
  <Characters>17611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CHEMICAL ENGINEERING TRANSACTIONS </vt:lpstr>
    </vt:vector>
  </TitlesOfParts>
  <Company/>
  <LinksUpToDate>false</LinksUpToDate>
  <CharactersWithSpaces>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ENGINEERING TRANSACTIONS</dc:title>
  <dc:creator>Reginaldo</dc:creator>
  <cp:lastModifiedBy>Reginaldo</cp:lastModifiedBy>
  <cp:revision>18</cp:revision>
  <cp:lastPrinted>2025-03-28T17:51:00Z</cp:lastPrinted>
  <dcterms:created xsi:type="dcterms:W3CDTF">2025-03-31T11:50:00Z</dcterms:created>
  <dcterms:modified xsi:type="dcterms:W3CDTF">2025-03-31T16:56:00Z</dcterms:modified>
</cp:coreProperties>
</file>